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智汇郑州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青年人才生活补贴办理地点及</w:t>
      </w:r>
    </w:p>
    <w:p>
      <w:pPr>
        <w:numPr>
          <w:ilvl w:val="0"/>
          <w:numId w:val="0"/>
        </w:numPr>
        <w:jc w:val="center"/>
        <w:rPr>
          <w:rFonts w:hint="eastAsia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咨询方式</w:t>
      </w: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56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窗口名称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窗口位置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郑州市人才窗口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郑州市陇海西路169号人才大厦2楼大厅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</w:rPr>
              <w:t>中原西路80号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郑州市政务服务大厅3楼人社专区智汇郑州人才服务窗口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航空港区人才窗口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郑州航空港实验区华夏大道和云港路交叉口润丰悦尚21栋“中国郑州航空港国际引智展示中心”二楼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S102省道和新港大道交汇处南50米路西航空港区政务服务大厅D区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auto"/>
                <w:vertAlign w:val="baseline"/>
              </w:rPr>
              <w:t>60879900</w:t>
            </w:r>
          </w:p>
          <w:p>
            <w:pPr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60890156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郑东新区人才窗口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郑东新区熊儿河路众旺路交叉口郑东新区行政审批办事服务大厅1楼C01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、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02</w:t>
            </w:r>
            <w:r>
              <w:rPr>
                <w:rFonts w:hint="eastAsia"/>
                <w:color w:val="000000"/>
                <w:vertAlign w:val="baseline"/>
              </w:rPr>
              <w:t>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67179155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高新区人才窗口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高新区国槐街8号火炬大厦B座二楼行政审批大厅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67127007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经开区人才窗口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经开区</w:t>
            </w:r>
            <w:r>
              <w:rPr>
                <w:rFonts w:hint="eastAsia"/>
                <w:color w:val="000000"/>
                <w:vertAlign w:val="baseline"/>
              </w:rPr>
              <w:t>经北二路第四大街人力资源市场一楼大厅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67127800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巩义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市</w:t>
            </w:r>
            <w:r>
              <w:rPr>
                <w:rFonts w:hint="eastAsia"/>
                <w:color w:val="000000"/>
                <w:vertAlign w:val="baseline"/>
              </w:rPr>
              <w:t>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巩义市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东区行政东街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6号</w:t>
            </w:r>
            <w:r>
              <w:rPr>
                <w:rFonts w:hint="eastAsia"/>
                <w:color w:val="000000"/>
                <w:vertAlign w:val="baseline"/>
              </w:rPr>
              <w:t>人社局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北二楼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1号窗口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0371—69580017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新密市人才窗口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</w:rPr>
              <w:t>新密市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西大街西段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203号</w:t>
            </w:r>
            <w:r>
              <w:rPr>
                <w:rFonts w:hint="eastAsia"/>
                <w:color w:val="000000"/>
                <w:vertAlign w:val="baseline"/>
              </w:rPr>
              <w:t>行政服务中心一楼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大厅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69233122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荥阳市人才窗口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荥阳市飞龙路与中原西路交叉口西北角荥阳市政务服务中心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一</w:t>
            </w:r>
            <w:r>
              <w:rPr>
                <w:rFonts w:hint="eastAsia"/>
                <w:color w:val="000000"/>
                <w:vertAlign w:val="baseline"/>
              </w:rPr>
              <w:t>楼西人才专窗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60250339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登封市人才窗口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登封市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少林大道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136号</w:t>
            </w:r>
            <w:r>
              <w:rPr>
                <w:rFonts w:hint="eastAsia"/>
                <w:color w:val="000000"/>
                <w:vertAlign w:val="baseline"/>
              </w:rPr>
              <w:t>行政服务中心一楼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62856756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新郑市人才窗口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新郑市文化路与中兴路交叉口行政审批服务中心二楼B2区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63205518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中牟县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人才</w:t>
            </w:r>
            <w:r>
              <w:rPr>
                <w:rFonts w:hint="eastAsia"/>
                <w:color w:val="000000"/>
                <w:vertAlign w:val="baseline"/>
              </w:rPr>
              <w:t>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</w:rPr>
              <w:t>中牟县商都路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与清阳街交叉口东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100米路南房产大厦2楼东南角G08人社综合受理窗口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62181889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金水区人才窗口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金水区东风路花园路西北角 金水区政务服务大厅一楼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55560790，55560793，55560795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二七区人才窗口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二七区</w:t>
            </w:r>
            <w:r>
              <w:rPr>
                <w:rFonts w:hint="eastAsia"/>
                <w:color w:val="000000"/>
                <w:vertAlign w:val="baseline"/>
              </w:rPr>
              <w:t>行云路赣江路东北角二七区政务服务中心三楼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12号</w:t>
            </w:r>
            <w:r>
              <w:rPr>
                <w:rFonts w:hint="eastAsia"/>
                <w:color w:val="000000"/>
                <w:vertAlign w:val="baseline"/>
              </w:rPr>
              <w:t>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  <w:vertAlign w:val="baseline"/>
              </w:rPr>
              <w:t>63066358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中原区人才窗口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百花路友爱路东南角中原区政务服务中心一楼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color w:val="000000"/>
                <w:vertAlign w:val="baseline"/>
              </w:rPr>
              <w:t>号窗口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</w:rPr>
              <w:t>管城区人才窗口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商城路与塔湾路交叉口向北150米路东 管城区政务服务中心一楼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color w:val="000000"/>
                <w:vertAlign w:val="baseline"/>
              </w:rPr>
              <w:t>号窗口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0371—67729178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惠济</w:t>
            </w:r>
            <w:r>
              <w:rPr>
                <w:rFonts w:hint="eastAsia"/>
                <w:color w:val="000000"/>
                <w:vertAlign w:val="baseline"/>
              </w:rPr>
              <w:t>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惠济区新城路与天河路交叉口东200米惠济区政务服务中心2楼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0371—63639267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</w:rPr>
              <w:t>上街区人才窗口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jc w:val="left"/>
              <w:rPr>
                <w:rFonts w:hint="eastAsia" w:eastAsia="宋体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</w:rPr>
              <w:t>上街区新建街东段行政服务中心一楼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4号窗口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0371—</w:t>
            </w:r>
            <w:r>
              <w:rPr>
                <w:rFonts w:hint="eastAsia"/>
                <w:color w:val="000000"/>
              </w:rPr>
              <w:t>56506085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4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F5008F"/>
    <w:multiLevelType w:val="singleLevel"/>
    <w:tmpl w:val="B4F500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D3F8F6B"/>
    <w:multiLevelType w:val="singleLevel"/>
    <w:tmpl w:val="FD3F8F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CE11C2"/>
    <w:rsid w:val="21AF677E"/>
    <w:rsid w:val="22A653E7"/>
    <w:rsid w:val="2CEE3211"/>
    <w:rsid w:val="502E42BF"/>
    <w:rsid w:val="5B893FE9"/>
    <w:rsid w:val="6EAF5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2018-05-03T07:10:00Z</dcterms:created>
  <dc:creator>Administrator</dc:creator>
  <cp:lastModifiedBy>伟人</cp:lastModifiedBy>
  <cp:lastPrinted>2018-05-04T07:55:00Z</cp:lastPrinted>
  <dcterms:modified xsi:type="dcterms:W3CDTF">2020-04-29T07:25:16Z</dcterms:modified>
  <dc:title>“智汇郑州”人才政策服务窗口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