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8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/>
        <w:jc w:val="center"/>
        <w:textAlignment w:val="auto"/>
        <w:rPr>
          <w:rFonts w:hint="eastAsia" w:ascii="方正书宋_GBK" w:hAnsi="方正书宋_GBK" w:eastAsia="方正小标宋_GBK" w:cs="方正小标宋_GBK"/>
          <w:sz w:val="34"/>
          <w:szCs w:val="34"/>
        </w:rPr>
      </w:pPr>
      <w:bookmarkStart w:id="0" w:name="_GoBack"/>
      <w:r>
        <w:rPr>
          <w:rFonts w:hint="eastAsia" w:ascii="方正书宋_GBK" w:hAnsi="方正书宋_GBK" w:eastAsia="方正小标宋_GBK" w:cs="方正小标宋_GBK"/>
          <w:sz w:val="34"/>
          <w:szCs w:val="34"/>
          <w:lang w:val="en-US" w:eastAsia="zh-CN"/>
        </w:rPr>
        <w:t>2022年度郑州市工伤预防项目实施单位及拟拨付费用明细</w:t>
      </w:r>
    </w:p>
    <w:bookmarkEnd w:id="0"/>
    <w:tbl>
      <w:tblPr>
        <w:tblStyle w:val="5"/>
        <w:tblW w:w="86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744"/>
        <w:gridCol w:w="1172"/>
        <w:gridCol w:w="853"/>
        <w:gridCol w:w="1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书宋_GBK" w:hAnsi="方正书宋_GBK" w:eastAsia="方正黑体_GBK" w:cs="方正黑体_GBK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书宋_GBK" w:hAnsi="方正书宋_GBK" w:eastAsia="方正黑体_GBK" w:cs="方正黑体_GBK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书宋_GBK" w:hAnsi="方正书宋_GBK" w:eastAsia="方正黑体_GBK" w:cs="方正黑体_GBK"/>
                <w:sz w:val="21"/>
                <w:szCs w:val="21"/>
                <w:lang w:val="en-US" w:eastAsia="zh-CN"/>
              </w:rPr>
              <w:t>单位类型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方正黑体_GBK" w:cs="方正黑体_GBK"/>
                <w:sz w:val="21"/>
                <w:szCs w:val="21"/>
                <w:lang w:val="en-US" w:eastAsia="zh-CN"/>
              </w:rPr>
              <w:t>单位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书宋_GBK" w:hAnsi="方正书宋_GBK" w:eastAsia="方正黑体_GBK" w:cs="方正黑体_GBK"/>
                <w:sz w:val="21"/>
                <w:szCs w:val="21"/>
                <w:lang w:val="en-US" w:eastAsia="zh-CN"/>
              </w:rPr>
              <w:t>规模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方正黑体_GBK" w:cs="方正黑体_GBK"/>
                <w:sz w:val="21"/>
                <w:szCs w:val="21"/>
                <w:lang w:val="en-US" w:eastAsia="zh-CN"/>
              </w:rPr>
              <w:t>拨付金额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书宋_GBK" w:hAnsi="方正书宋_GBK" w:eastAsia="方正黑体_GBK" w:cs="方正黑体_GBK"/>
                <w:sz w:val="21"/>
                <w:szCs w:val="21"/>
                <w:lang w:val="en-US" w:eastAsia="zh-CN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河南省第一建设集团第五建筑工程有限公司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建筑业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中型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河南国基建设集团有限公司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建筑业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大型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河南省第一建筑工程集团有限责任公司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建筑业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大型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白鸽磨料磨具有限公司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制造业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中型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河南城源建设工程有限公司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建筑业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大型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郑州市公共交通集团有限公司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交通运输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大型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郑州市东城建筑工程配套有限公司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建筑业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中型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33.1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中建国厦集团股份有限公司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建筑业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中型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郑州宇通重工有限公司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汽车制造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大型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郑州交通运输集团有限公司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交通运输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大型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郑州日产汽车有限公司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汽车制造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大型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正岩建设集团有限公司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建筑业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大型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海马汽车有限公司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汽车制造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大型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上海汽车集团股份有限公司乘用车郑州分公司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汽车制造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大型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天瑞集团郑州水泥有限公司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制造业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大型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郑州市人力资源和社会保障局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行政单位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郑州市卫生健康委员会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行政单位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荥阳市人力资源和社会保障局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行政单位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新密市人力资源和社会保障局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行政单位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hAnsi="方正书宋_GBK" w:eastAsia="仿宋_GB2312" w:cs="仿宋_GB2312"/>
                <w:sz w:val="21"/>
                <w:szCs w:val="21"/>
                <w:lang w:val="en-US" w:eastAsia="zh-CN"/>
              </w:rPr>
              <w:t>980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85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 w:eastAsia="仿宋_GB2312"/>
          <w:sz w:val="10"/>
          <w:szCs w:val="1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15C5565E"/>
    <w:rsid w:val="15C5565E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2022-06-24T09:56:00Z</dcterms:created>
  <dc:creator>Administrator</dc:creator>
  <cp:lastModifiedBy>Administrator</cp:lastModifiedBy>
  <dcterms:modified xsi:type="dcterms:W3CDTF">2022-06-24T09:57:00Z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314A12D651444294AB5C1FC0B400D1FD</vt:lpwstr>
  </property>
</Properties>
</file>