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snapToGrid w:val="0"/>
        <w:spacing w:line="276" w:lineRule="auto"/>
        <w:jc w:val="center"/>
        <w:rPr>
          <w:rFonts w:hint="eastAsia" w:ascii="宋体" w:hAnsi="宋体" w:eastAsia="方正小标宋_GBK" w:cs="Times New Roman"/>
          <w:sz w:val="44"/>
          <w:szCs w:val="44"/>
          <w:lang w:eastAsia="zh-CN"/>
        </w:rPr>
      </w:pPr>
      <w:bookmarkStart w:id="0" w:name="_GoBack"/>
      <w:r>
        <w:rPr>
          <w:rFonts w:hint="eastAsia" w:ascii="宋体" w:hAnsi="宋体" w:eastAsia="方正小标宋_GBK" w:cs="Times New Roman"/>
          <w:sz w:val="44"/>
          <w:szCs w:val="44"/>
          <w:lang w:eastAsia="zh-CN"/>
        </w:rPr>
        <w:t>郑州市大数据人才培养“码农计划”</w:t>
      </w:r>
    </w:p>
    <w:p>
      <w:pPr>
        <w:snapToGrid w:val="0"/>
        <w:spacing w:line="276" w:lineRule="auto"/>
        <w:jc w:val="center"/>
        <w:rPr>
          <w:rFonts w:hint="eastAsia" w:ascii="宋体" w:hAnsi="宋体" w:eastAsia="方正小标宋_GBK" w:cs="Times New Roman"/>
          <w:sz w:val="44"/>
          <w:szCs w:val="44"/>
          <w:lang w:eastAsia="zh-CN"/>
        </w:rPr>
      </w:pPr>
      <w:r>
        <w:rPr>
          <w:rFonts w:hint="eastAsia" w:ascii="宋体" w:hAnsi="宋体" w:eastAsia="方正小标宋_GBK" w:cs="Times New Roman"/>
          <w:sz w:val="44"/>
          <w:szCs w:val="44"/>
          <w:lang w:eastAsia="zh-CN"/>
        </w:rPr>
        <w:t>试点培训机构遴选标准</w:t>
      </w:r>
    </w:p>
    <w:bookmarkEnd w:id="0"/>
    <w:tbl>
      <w:tblPr>
        <w:tblStyle w:val="4"/>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6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jc w:val="center"/>
        </w:trPr>
        <w:tc>
          <w:tcPr>
            <w:tcW w:w="2821" w:type="dxa"/>
            <w:noWrap w:val="0"/>
            <w:vAlign w:val="top"/>
          </w:tcPr>
          <w:p>
            <w:pPr>
              <w:jc w:val="center"/>
              <w:rPr>
                <w:rFonts w:hint="eastAsia" w:ascii="黑体" w:hAnsi="黑体" w:eastAsia="黑体" w:cs="黑体"/>
                <w:b w:val="0"/>
                <w:bCs w:val="0"/>
                <w:color w:val="auto"/>
                <w:sz w:val="28"/>
                <w:szCs w:val="28"/>
                <w:vertAlign w:val="baseline"/>
                <w:lang w:eastAsia="zh-CN"/>
              </w:rPr>
            </w:pPr>
            <w:r>
              <w:rPr>
                <w:rFonts w:hint="eastAsia" w:ascii="黑体" w:hAnsi="黑体" w:eastAsia="黑体" w:cs="黑体"/>
                <w:b w:val="0"/>
                <w:bCs w:val="0"/>
                <w:color w:val="auto"/>
                <w:sz w:val="28"/>
                <w:szCs w:val="28"/>
                <w:vertAlign w:val="baseline"/>
                <w:lang w:eastAsia="zh-CN"/>
              </w:rPr>
              <w:t>考察项目</w:t>
            </w:r>
          </w:p>
        </w:tc>
        <w:tc>
          <w:tcPr>
            <w:tcW w:w="6101" w:type="dxa"/>
            <w:noWrap w:val="0"/>
            <w:vAlign w:val="top"/>
          </w:tcPr>
          <w:p>
            <w:pPr>
              <w:jc w:val="center"/>
              <w:rPr>
                <w:rFonts w:hint="eastAsia" w:ascii="黑体" w:hAnsi="黑体" w:eastAsia="黑体" w:cs="黑体"/>
                <w:b w:val="0"/>
                <w:bCs w:val="0"/>
                <w:color w:val="auto"/>
                <w:sz w:val="28"/>
                <w:szCs w:val="28"/>
                <w:vertAlign w:val="baseline"/>
                <w:lang w:eastAsia="zh-CN"/>
              </w:rPr>
            </w:pPr>
            <w:r>
              <w:rPr>
                <w:rFonts w:hint="eastAsia" w:ascii="黑体" w:hAnsi="黑体" w:eastAsia="黑体" w:cs="黑体"/>
                <w:b w:val="0"/>
                <w:bCs w:val="0"/>
                <w:color w:val="auto"/>
                <w:sz w:val="28"/>
                <w:szCs w:val="28"/>
                <w:vertAlign w:val="baseline"/>
                <w:lang w:eastAsia="zh-CN"/>
              </w:rPr>
              <w:t>遴选标准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1" w:hRule="atLeast"/>
          <w:jc w:val="center"/>
        </w:trPr>
        <w:tc>
          <w:tcPr>
            <w:tcW w:w="2821" w:type="dxa"/>
            <w:noWrap w:val="0"/>
            <w:vAlign w:val="center"/>
          </w:tcPr>
          <w:p>
            <w:pPr>
              <w:jc w:val="center"/>
              <w:rPr>
                <w:rFonts w:hint="eastAsia"/>
                <w:color w:val="auto"/>
                <w:sz w:val="28"/>
                <w:szCs w:val="28"/>
                <w:vertAlign w:val="baseline"/>
                <w:lang w:eastAsia="zh-CN"/>
              </w:rPr>
            </w:pPr>
            <w:r>
              <w:rPr>
                <w:rFonts w:hint="eastAsia"/>
                <w:color w:val="auto"/>
                <w:sz w:val="28"/>
                <w:szCs w:val="28"/>
                <w:vertAlign w:val="baseline"/>
                <w:lang w:val="en-US" w:eastAsia="zh-CN"/>
              </w:rPr>
              <w:t>办学资质</w:t>
            </w:r>
          </w:p>
        </w:tc>
        <w:tc>
          <w:tcPr>
            <w:tcW w:w="6101" w:type="dxa"/>
            <w:noWrap w:val="0"/>
            <w:vAlign w:val="top"/>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360" w:lineRule="atLeast"/>
              <w:ind w:right="0"/>
              <w:jc w:val="left"/>
              <w:textAlignment w:val="auto"/>
              <w:rPr>
                <w:rFonts w:hint="eastAsia"/>
                <w:color w:val="auto"/>
                <w:sz w:val="28"/>
                <w:szCs w:val="28"/>
                <w:lang w:val="en-US" w:eastAsia="zh-CN"/>
              </w:rPr>
            </w:pPr>
            <w:r>
              <w:rPr>
                <w:rFonts w:hint="default" w:ascii="仿宋_GB2312" w:hAnsi="仿宋_GB2312" w:eastAsia="仿宋_GB2312" w:cs="仿宋_GB2312"/>
                <w:color w:val="auto"/>
                <w:sz w:val="28"/>
                <w:szCs w:val="28"/>
                <w:lang w:val="en-US" w:eastAsia="zh-CN"/>
              </w:rPr>
              <w:t>各</w:t>
            </w:r>
            <w:r>
              <w:rPr>
                <w:rFonts w:hint="eastAsia" w:ascii="仿宋_GB2312" w:hAnsi="仿宋_GB2312" w:eastAsia="仿宋_GB2312" w:cs="仿宋_GB2312"/>
                <w:color w:val="auto"/>
                <w:sz w:val="28"/>
                <w:szCs w:val="28"/>
                <w:lang w:val="en-US" w:eastAsia="zh-CN"/>
              </w:rPr>
              <w:t>培训机构</w:t>
            </w:r>
            <w:r>
              <w:rPr>
                <w:rFonts w:hint="default" w:ascii="仿宋_GB2312" w:hAnsi="仿宋_GB2312" w:eastAsia="仿宋_GB2312" w:cs="仿宋_GB2312"/>
                <w:color w:val="auto"/>
                <w:sz w:val="28"/>
                <w:szCs w:val="28"/>
                <w:lang w:val="en-US" w:eastAsia="zh-CN"/>
              </w:rPr>
              <w:t>应严格遵照《</w:t>
            </w:r>
            <w:r>
              <w:rPr>
                <w:rFonts w:hint="default" w:ascii="仿宋_GB2312" w:hAnsi="仿宋_GB2312" w:eastAsia="仿宋_GB2312" w:cs="仿宋_GB2312"/>
                <w:color w:val="auto"/>
                <w:sz w:val="28"/>
                <w:szCs w:val="28"/>
                <w:lang w:val="en-US" w:eastAsia="zh-CN"/>
              </w:rPr>
              <w:fldChar w:fldCharType="begin"/>
            </w:r>
            <w:r>
              <w:rPr>
                <w:rFonts w:hint="default" w:ascii="仿宋_GB2312" w:hAnsi="仿宋_GB2312" w:eastAsia="仿宋_GB2312" w:cs="仿宋_GB2312"/>
                <w:color w:val="auto"/>
                <w:sz w:val="28"/>
                <w:szCs w:val="28"/>
                <w:lang w:val="en-US" w:eastAsia="zh-CN"/>
              </w:rPr>
              <w:instrText xml:space="preserve"> HYPERLINK "https://baike.baidu.com/item/%E4%B8%AD%E5%8D%8E%E4%BA%BA%E6%B0%91%E5%85%B1%E5%92%8C%E5%9B%BD%E6%B0%91%E5%8A%9E%E6%95%99%E8%82%B2%E4%BF%83%E8%BF%9B%E6%B3%95/2342595" \t "https://baike.baidu.com/item/%E5%8A%9E%E5%AD%A6%E8%AE%B8%E5%8F%AF%E8%AF%81/_blank" </w:instrText>
            </w:r>
            <w:r>
              <w:rPr>
                <w:rFonts w:hint="default" w:ascii="仿宋_GB2312" w:hAnsi="仿宋_GB2312" w:eastAsia="仿宋_GB2312" w:cs="仿宋_GB2312"/>
                <w:color w:val="auto"/>
                <w:sz w:val="28"/>
                <w:szCs w:val="28"/>
                <w:lang w:val="en-US" w:eastAsia="zh-CN"/>
              </w:rPr>
              <w:fldChar w:fldCharType="separate"/>
            </w:r>
            <w:r>
              <w:rPr>
                <w:rFonts w:hint="default" w:ascii="仿宋_GB2312" w:hAnsi="仿宋_GB2312" w:eastAsia="仿宋_GB2312" w:cs="仿宋_GB2312"/>
                <w:color w:val="auto"/>
                <w:sz w:val="28"/>
                <w:szCs w:val="28"/>
                <w:lang w:val="en-US" w:eastAsia="zh-CN"/>
              </w:rPr>
              <w:t>中华人民共和国民办教育促进法</w:t>
            </w:r>
            <w:r>
              <w:rPr>
                <w:rFonts w:hint="default" w:ascii="仿宋_GB2312" w:hAnsi="仿宋_GB2312" w:eastAsia="仿宋_GB2312" w:cs="仿宋_GB2312"/>
                <w:color w:val="auto"/>
                <w:sz w:val="28"/>
                <w:szCs w:val="28"/>
                <w:lang w:val="en-US" w:eastAsia="zh-CN"/>
              </w:rPr>
              <w:fldChar w:fldCharType="end"/>
            </w:r>
            <w:r>
              <w:rPr>
                <w:rFonts w:hint="default"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fldChar w:fldCharType="begin"/>
            </w:r>
            <w:r>
              <w:rPr>
                <w:rFonts w:hint="default" w:ascii="仿宋_GB2312" w:hAnsi="仿宋_GB2312" w:eastAsia="仿宋_GB2312" w:cs="仿宋_GB2312"/>
                <w:color w:val="auto"/>
                <w:sz w:val="28"/>
                <w:szCs w:val="28"/>
                <w:lang w:val="en-US" w:eastAsia="zh-CN"/>
              </w:rPr>
              <w:instrText xml:space="preserve"> HYPERLINK "https://baike.baidu.com/item/%E4%B8%AD%E5%8D%8E%E4%BA%BA%E6%B0%91%E5%85%B1%E5%92%8C%E5%9B%BD%E6%B0%91%E5%8A%9E%E6%95%99%E8%82%B2%E4%BF%83%E8%BF%9B%E6%B3%95%E5%AE%9E%E6%96%BD%E6%9D%A1%E4%BE%8B/7976973" \t "https://baike.baidu.com/item/%E5%8A%9E%E5%AD%A6%E8%AE%B8%E5%8F%AF%E8%AF%81/_blank" </w:instrText>
            </w:r>
            <w:r>
              <w:rPr>
                <w:rFonts w:hint="default" w:ascii="仿宋_GB2312" w:hAnsi="仿宋_GB2312" w:eastAsia="仿宋_GB2312" w:cs="仿宋_GB2312"/>
                <w:color w:val="auto"/>
                <w:sz w:val="28"/>
                <w:szCs w:val="28"/>
                <w:lang w:val="en-US" w:eastAsia="zh-CN"/>
              </w:rPr>
              <w:fldChar w:fldCharType="separate"/>
            </w:r>
            <w:r>
              <w:rPr>
                <w:rFonts w:hint="default" w:ascii="仿宋_GB2312" w:hAnsi="仿宋_GB2312" w:eastAsia="仿宋_GB2312" w:cs="仿宋_GB2312"/>
                <w:color w:val="auto"/>
                <w:sz w:val="28"/>
                <w:szCs w:val="28"/>
                <w:lang w:val="en-US" w:eastAsia="zh-CN"/>
              </w:rPr>
              <w:t>中华人民共和国民办教育促进法实施条例</w:t>
            </w:r>
            <w:r>
              <w:rPr>
                <w:rFonts w:hint="default" w:ascii="仿宋_GB2312" w:hAnsi="仿宋_GB2312" w:eastAsia="仿宋_GB2312" w:cs="仿宋_GB2312"/>
                <w:color w:val="auto"/>
                <w:sz w:val="28"/>
                <w:szCs w:val="28"/>
                <w:lang w:val="en-US" w:eastAsia="zh-CN"/>
              </w:rPr>
              <w:fldChar w:fldCharType="end"/>
            </w:r>
            <w:r>
              <w:rPr>
                <w:rFonts w:hint="default" w:ascii="仿宋_GB2312" w:hAnsi="仿宋_GB2312" w:eastAsia="仿宋_GB2312" w:cs="仿宋_GB2312"/>
                <w:color w:val="auto"/>
                <w:sz w:val="28"/>
                <w:szCs w:val="28"/>
                <w:lang w:val="en-US" w:eastAsia="zh-CN"/>
              </w:rPr>
              <w:t>》的规定，按《办学许可证》中所注明的地址、层次、内容、形式办学，不得买卖、出租、出借《办学许可证》，不得将办学资格和办学项目委托或承包给其他机构和个人，不得擅自改变办学地点，不得擅自增加、变更办学层次、内容和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2821" w:type="dxa"/>
            <w:noWrap w:val="0"/>
            <w:vAlign w:val="center"/>
          </w:tcPr>
          <w:p>
            <w:pPr>
              <w:jc w:val="center"/>
              <w:rPr>
                <w:rFonts w:hint="eastAsia"/>
                <w:color w:val="auto"/>
                <w:sz w:val="28"/>
                <w:szCs w:val="28"/>
                <w:vertAlign w:val="baseline"/>
                <w:lang w:eastAsia="zh-CN"/>
              </w:rPr>
            </w:pPr>
            <w:r>
              <w:rPr>
                <w:rFonts w:hint="eastAsia"/>
                <w:color w:val="auto"/>
                <w:sz w:val="28"/>
                <w:szCs w:val="28"/>
                <w:vertAlign w:val="baseline"/>
                <w:lang w:val="en-US" w:eastAsia="zh-CN"/>
              </w:rPr>
              <w:t>课程设置</w:t>
            </w:r>
          </w:p>
        </w:tc>
        <w:tc>
          <w:tcPr>
            <w:tcW w:w="6101" w:type="dxa"/>
            <w:noWrap w:val="0"/>
            <w:vAlign w:val="top"/>
          </w:tcPr>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学校拥有建立健全的课程体系，能够满足学生全方位的学习大数据相关专业知识。拥有培训大数据相关专业的办学资质，主要包括计算机程序设计员、信息通信信息化系统管理员、人工智能训练师、电子商务师、信息通信网络运行管理员、工业机器人系统操作员、工业机器人系统运维员、计算机软件测试员等相关职业工种。大数据相关的新职业新工种纳入课程设置范围。同时，根据新情况新要求动态调整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jc w:val="center"/>
        </w:trPr>
        <w:tc>
          <w:tcPr>
            <w:tcW w:w="2821" w:type="dxa"/>
            <w:noWrap w:val="0"/>
            <w:vAlign w:val="center"/>
          </w:tcPr>
          <w:p>
            <w:pPr>
              <w:jc w:val="center"/>
              <w:rPr>
                <w:rFonts w:hint="eastAsia"/>
                <w:color w:val="auto"/>
                <w:sz w:val="28"/>
                <w:szCs w:val="28"/>
                <w:vertAlign w:val="baseline"/>
                <w:lang w:eastAsia="zh-CN"/>
              </w:rPr>
            </w:pPr>
            <w:r>
              <w:rPr>
                <w:rFonts w:hint="eastAsia"/>
                <w:color w:val="auto"/>
                <w:sz w:val="28"/>
                <w:szCs w:val="28"/>
                <w:vertAlign w:val="baseline"/>
                <w:lang w:eastAsia="zh-CN"/>
              </w:rPr>
              <w:t>师资力量</w:t>
            </w:r>
          </w:p>
        </w:tc>
        <w:tc>
          <w:tcPr>
            <w:tcW w:w="6101" w:type="dxa"/>
            <w:noWrap w:val="0"/>
            <w:vAlign w:val="center"/>
          </w:tcPr>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拥有5人以上具备计算机编程和软件开发等资深专业的优秀专兼职师资团队，教师具有教师资格，主要是具有参与优质项目的经验或拥有大数据相关专业的证书。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2" w:hRule="atLeast"/>
          <w:jc w:val="center"/>
        </w:trPr>
        <w:tc>
          <w:tcPr>
            <w:tcW w:w="2821" w:type="dxa"/>
            <w:noWrap w:val="0"/>
            <w:vAlign w:val="center"/>
          </w:tcPr>
          <w:p>
            <w:pPr>
              <w:jc w:val="center"/>
              <w:rPr>
                <w:rFonts w:hint="eastAsia"/>
                <w:color w:val="auto"/>
                <w:sz w:val="28"/>
                <w:szCs w:val="28"/>
                <w:vertAlign w:val="baseline"/>
                <w:lang w:eastAsia="zh-CN"/>
              </w:rPr>
            </w:pPr>
            <w:r>
              <w:rPr>
                <w:rFonts w:hint="eastAsia"/>
                <w:color w:val="auto"/>
                <w:sz w:val="28"/>
                <w:szCs w:val="28"/>
                <w:vertAlign w:val="baseline"/>
                <w:lang w:eastAsia="zh-CN"/>
              </w:rPr>
              <w:t>场地设施</w:t>
            </w:r>
          </w:p>
        </w:tc>
        <w:tc>
          <w:tcPr>
            <w:tcW w:w="6101" w:type="dxa"/>
            <w:noWrap w:val="0"/>
            <w:vAlign w:val="center"/>
          </w:tcPr>
          <w:p>
            <w:pPr>
              <w:jc w:val="both"/>
              <w:rPr>
                <w:rFonts w:hint="eastAsia"/>
                <w:color w:val="auto"/>
                <w:sz w:val="28"/>
                <w:szCs w:val="28"/>
                <w:vertAlign w:val="baseline"/>
                <w:lang w:eastAsia="zh-CN"/>
              </w:rPr>
            </w:pPr>
            <w:r>
              <w:rPr>
                <w:rFonts w:hint="eastAsia" w:ascii="仿宋_GB2312" w:hAnsi="仿宋_GB2312" w:eastAsia="仿宋_GB2312" w:cs="仿宋_GB2312"/>
                <w:color w:val="auto"/>
                <w:sz w:val="28"/>
                <w:szCs w:val="28"/>
                <w:lang w:val="en-US" w:eastAsia="zh-CN"/>
              </w:rPr>
              <w:t>能较好满足学生基本学习需要，可同时承载50人以上学员学习实训的场地及专业计算机配套设备。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8" w:hRule="atLeast"/>
          <w:jc w:val="center"/>
        </w:trPr>
        <w:tc>
          <w:tcPr>
            <w:tcW w:w="2821" w:type="dxa"/>
            <w:noWrap w:val="0"/>
            <w:vAlign w:val="center"/>
          </w:tcPr>
          <w:p>
            <w:pPr>
              <w:jc w:val="center"/>
              <w:rPr>
                <w:rFonts w:hint="default"/>
                <w:color w:val="auto"/>
                <w:sz w:val="28"/>
                <w:szCs w:val="28"/>
                <w:vertAlign w:val="baseline"/>
                <w:lang w:val="en-US" w:eastAsia="zh-CN"/>
              </w:rPr>
            </w:pPr>
            <w:r>
              <w:rPr>
                <w:rFonts w:hint="eastAsia"/>
                <w:color w:val="auto"/>
                <w:sz w:val="28"/>
                <w:szCs w:val="28"/>
                <w:vertAlign w:val="baseline"/>
                <w:lang w:val="en-US" w:eastAsia="zh-CN"/>
              </w:rPr>
              <w:t>社会效益</w:t>
            </w:r>
          </w:p>
        </w:tc>
        <w:tc>
          <w:tcPr>
            <w:tcW w:w="6101" w:type="dxa"/>
            <w:noWrap w:val="0"/>
            <w:vAlign w:val="center"/>
          </w:tcPr>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瞄准市场需求端，培训机构拥有签订校企合作协议的2家以上优质大数据企业。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62498"/>
    <w:rsid w:val="0486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rPr>
      <w:rFonts w:ascii="仿宋" w:hAnsi="Times New Roman" w:eastAsia="仿宋" w:cs="仿宋"/>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2021-09-08T06:53:00Z</dcterms:created>
  <dc:creator>CC</dc:creator>
  <cp:lastModifiedBy>CC</cp:lastModifiedBy>
  <dcterms:modified xsi:type="dcterms:W3CDTF">2021-09-08T06:54:35Z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1D7389B7FD8E40EB862822C3C22E7DA1</vt:lpwstr>
  </property>
</Properties>
</file>