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《关于做好工程建设领域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欠薪突出问题治理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工作的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实施意见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》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为深入贯彻习近平总书记有关根治欠薪工作指示批示，认真落实《保障农民工工资支付条例》，切实从源头上根治拖欠农民工工资问题，根据市委、市政府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领导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指示要求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，结合我市根治欠薪工作实际，市治欠办牵头起草了《关于做好工程建设领域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欠薪突出问题治理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工作的实施意见》(以下简称《实施意见》)。现将有关起草情况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>起草背景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近年来，我市根治欠薪工作取得长足进步，长效机制建设得到加强，但是也要清醒认识到形势依然严峻复杂，建筑领域劳资纠纷不断增多，欠薪案件数量、金额和涉及农民工人数不降反增，做好工作依然困难很大、问题不少。具体表现在：违法分包、转包、“阴阳合同”、垫资建设等导致欠薪源头性问题未根本解决，“一金三制”等长效机制制度存在建而不用、覆盖不全、浮于表面等现象，行业监管责任落实不到位、欠薪案件受理、办理效率不高、成员单位责任不明、政府及国企投资项目欠薪屡禁不止等问题依然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面对新形势、新任务，我们努力践行以人民为中心的发展理念，紧盯形势变化，注重精准施策，积极修定和完善政策，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起草了《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实施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意见》。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起草过程中，多次召开劳动保障监察系统会议进行讨论，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多次同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信访、城建等成员单位以及部分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建设项目相关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人员的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交流探讨，并结合市直有关部门修改意见进行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修订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最终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达成一致。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重点围绕解决工程建设领域欠薪突出问题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，综合运用行政、经济、法律手段，建立健全源头预防、动态监管、失信惩戒相结合的制度保障体系，确保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新发欠薪案件数量同比较大幅度下降并做到及时动态清零，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市各领域劳动者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工资基本无拖欠。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《实施</w:t>
      </w:r>
      <w:r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>意见</w:t>
      </w:r>
      <w:r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《实施意见》共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部分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条，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就压实属地、行业监管责任、规范工资支付、强化案件办理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成员单位职责、规范工资支付、健全应急处置机制、加强用工管理、诚信体系建设等工作进行了明确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对做好根治欠薪工作进行了全方位的规范。《意见》有以下特点：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6"/>
          <w:lang w:eastAsia="zh-CN" w:bidi="ar-SA"/>
        </w:rPr>
        <w:t>一是</w:t>
      </w:r>
      <w:r>
        <w:rPr>
          <w:rFonts w:hint="eastAsia" w:ascii="楷体_GB2312" w:hAnsi="楷体_GB2312" w:eastAsia="楷体_GB2312" w:cs="楷体_GB2312"/>
          <w:color w:val="000000"/>
          <w:sz w:val="32"/>
          <w:szCs w:val="36"/>
          <w:lang w:val="en-US" w:eastAsia="zh-CN" w:bidi="ar-SA"/>
        </w:rPr>
        <w:t>进一步压实属地、行业监管责任。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把治欠工作纳入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属地、行业部门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目标考核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，明确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工作目标、责任、时限和要求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。明确提出相关行业部门对本行业范围内的项目负行业监管责任，要配合属地共同做好监管工作，特别是对本级审批的项目贯彻落实《条例》情况以及出现的农民工工资支付问题负监管督导责任。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6"/>
          <w:lang w:eastAsia="zh-CN" w:bidi="ar-SA"/>
        </w:rPr>
        <w:t>二是</w:t>
      </w:r>
      <w:r>
        <w:rPr>
          <w:rFonts w:hint="eastAsia" w:ascii="楷体_GB2312" w:hAnsi="楷体_GB2312" w:eastAsia="楷体_GB2312" w:cs="楷体_GB2312"/>
          <w:color w:val="000000"/>
          <w:sz w:val="32"/>
          <w:szCs w:val="36"/>
          <w:lang w:val="en-US" w:eastAsia="zh-CN" w:bidi="ar-SA"/>
        </w:rPr>
        <w:t>工作重心向基层乡镇办</w:t>
      </w:r>
      <w:r>
        <w:rPr>
          <w:rFonts w:hint="default" w:ascii="楷体_GB2312" w:hAnsi="楷体_GB2312" w:eastAsia="楷体_GB2312" w:cs="楷体_GB2312"/>
          <w:color w:val="000000"/>
          <w:sz w:val="32"/>
          <w:szCs w:val="36"/>
          <w:lang w:eastAsia="zh-CN" w:bidi="ar-SA"/>
        </w:rPr>
        <w:t>进一步</w:t>
      </w:r>
      <w:r>
        <w:rPr>
          <w:rFonts w:hint="eastAsia" w:ascii="楷体_GB2312" w:hAnsi="楷体_GB2312" w:eastAsia="楷体_GB2312" w:cs="楷体_GB2312"/>
          <w:color w:val="000000"/>
          <w:sz w:val="32"/>
          <w:szCs w:val="36"/>
          <w:lang w:val="en-US" w:eastAsia="zh-CN" w:bidi="ar-SA"/>
        </w:rPr>
        <w:t>下沉。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加强基层乡镇办对辖区内拖欠农民工工资问题矛盾的排查、防范和化解工作，提出以乡镇办为基础推行“工长制”等，明确了基层乡镇办与属地、行业部门的工作对接、机制衔接问题。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6"/>
          <w:lang w:eastAsia="zh-CN" w:bidi="ar-SA"/>
        </w:rPr>
        <w:t>三是</w:t>
      </w:r>
      <w:r>
        <w:rPr>
          <w:rFonts w:hint="eastAsia" w:ascii="楷体_GB2312" w:hAnsi="楷体_GB2312" w:eastAsia="楷体_GB2312" w:cs="楷体_GB2312"/>
          <w:color w:val="000000"/>
          <w:sz w:val="32"/>
          <w:szCs w:val="36"/>
          <w:lang w:val="en-US" w:eastAsia="zh-CN" w:bidi="ar-SA"/>
        </w:rPr>
        <w:t>围绕快办快结提出了操作性、针对性更强的措施。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6"/>
          <w:lang w:val="en-US" w:eastAsia="zh-CN" w:bidi="ar-SA"/>
        </w:rPr>
        <w:t>一是规定更明确。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原则上按照施工过程结算的有关要求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建设单位按照不低于当月工程结算量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%的标准按月拨付人工费用。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6"/>
          <w:lang w:val="en-US" w:eastAsia="zh-CN" w:bidi="ar-SA"/>
        </w:rPr>
        <w:t>二是流程更具体。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如将近年我市提出的核查欠薪线索案件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“四步”工作法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（查证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欠薪事实、理清各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方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责任、责令限期整改、依法依规惩处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）进一步细化深化，更具操作性；再如对发生涉拖欠农民工工资信访案件、发生跳楼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、爬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塔吊等突发事件的处理程序、流程，进行了进一步明确等。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6"/>
          <w:lang w:val="en-US" w:eastAsia="zh-CN" w:bidi="ar-SA"/>
        </w:rPr>
        <w:t>三是责任更清晰。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《意见》明确各成员单位均有义务受理并及时处理、转办涉及欠薪的线索案件；实行线索案件分级核查制度；行业部门负责督办行业违法行为导致的欠薪问题；案发地县级政府主要负责人是清零第一责任人；属市管工程项目的，相关行业部门主要负责人是第一责任人。同时明确了人社、城建、发改、公安等成员单位工作职责，避免推诿扯皮现象发生。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同时，对规范工资支付、劳动用工管理以及诚信等级评价方面进行了细化。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6"/>
          <w:lang w:eastAsia="zh-CN" w:bidi="ar-SA"/>
        </w:rPr>
        <w:t>四是对工程建设领域劳动用工进一步进行规范。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明确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农民工进场施工前必须签订规范的劳动合同，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eastAsia="zh-CN" w:bidi="ar-SA"/>
        </w:rPr>
        <w:t>企业要</w:t>
      </w:r>
      <w:r>
        <w:rPr>
          <w:rFonts w:hint="default" w:ascii="仿宋_GB2312" w:hAnsi="仿宋_GB2312" w:eastAsia="仿宋_GB2312" w:cs="仿宋_GB2312"/>
          <w:color w:val="000000"/>
          <w:sz w:val="32"/>
          <w:szCs w:val="36"/>
          <w:lang w:val="en-US" w:eastAsia="zh-CN" w:bidi="ar-SA"/>
        </w:rPr>
        <w:t>为农民工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发放用工计酬手册，按日记录工作量、薪酬并经农民工本人和项目劳资人员签字确认；依托市内五区建立的“零工市场”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，搭建用工平台，引入实力强、信誉好的人力资源服务公司进驻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“零工市场”。引导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有用工需求的施工企业通过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“零工市场”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招用农民工，与人力资源公司签订用工协议，实行劳务派遣管理制度，规范双方劳务用工行为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31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6"/>
          <w:lang w:eastAsia="zh-CN" w:bidi="ar-SA"/>
        </w:rPr>
        <w:t>五是进一步明确欠薪突发事件应急处置程序。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发生采取堵门、堵路、跳楼、爬塔吊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等极端方式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讨薪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重大突发事件和舆情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，属地政府要第一时间启动响应、现场处置。属地在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处置的同时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报告市治欠办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属地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行业部门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和劳动监察部门到场处理；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市本级政府相关部门直接担任业主组织建设的政府投资项目，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发生以上情况，由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市治欠办通知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相关行业部门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和市劳动保障监察支队到场处理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；超过30人聚集等特殊情况，相关行业部门主管领导要亲自到场组织处理。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40"/>
          <w:lang w:eastAsia="zh-CN" w:bidi="ar-SA"/>
        </w:rPr>
        <w:t>适用部门：</w:t>
      </w:r>
      <w:r>
        <w:rPr>
          <w:rFonts w:hint="eastAsia" w:ascii="仿宋_GB2312" w:hAnsi="仿宋_GB2312" w:eastAsia="仿宋_GB2312" w:cs="仿宋_GB2312"/>
          <w:sz w:val="32"/>
          <w:szCs w:val="40"/>
        </w:rPr>
        <w:t>各开发区党工委、管委会，各区县（市）党委、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人民政府，市委各部委，市直机关各单位，市管各企业和高等院校，各人民团体</w:t>
      </w:r>
    </w:p>
    <w:p>
      <w:pPr>
        <w:pStyle w:val="2"/>
        <w:ind w:firstLine="634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40"/>
        </w:rPr>
        <w:t>适用对象：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  <w:t>我市范围内各类工程建设项目以及项目有关建设单位、总包单位、分包单位、劳务分包等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>术语解释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0" w:firstLine="42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40"/>
          <w:lang w:eastAsia="zh-CN" w:bidi="ar-SA"/>
        </w:rPr>
        <w:t>“一金三制”：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  <w:t>农民工工资保证金、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农民工实名管理制、农民工工资专用账户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管理制和农民工工资银行代发制度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0" w:firstLine="42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解读机关：郑州市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  <w:t>人力资源和社会保障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局   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0" w:firstLine="42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解读人：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  <w:t>吴志化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 xml:space="preserve">    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联系方式：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eastAsia="zh-CN" w:bidi="ar-SA"/>
        </w:rPr>
        <w:t>0371-67183327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textAlignment w:val="auto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default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 w:eastAsia="宋体" w:cs="Times New Roman"/>
                              <w:kern w:val="2"/>
                              <w:sz w:val="32"/>
                              <w:szCs w:val="22"/>
                              <w:lang w:val="en-US" w:eastAsia="zh-CN" w:bidi="ar-SA"/>
                            </w:rPr>
                            <w:id w:val="2199271"/>
                          </w:sdtPr>
                          <w:sdtEndP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sdtEndPr>
                          <w:sdtContent>
                            <w:p>
                              <w:pPr>
                                <w:widowControl w:val="0"/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ind w:left="210" w:leftChars="100" w:right="210" w:rightChars="100"/>
                                <w:jc w:val="center"/>
                                <w:rPr>
                                  <w:rFonts w:ascii="Calibri" w:hAnsi="Calibri" w:eastAsia="宋体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zh-CN" w:eastAsia="zh-CN" w:bidi="ar-SA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zh-CN" w:eastAsia="zh-CN" w:bidi="ar-SA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Calibri" w:hAnsi="Calibri" w:eastAsia="宋体" w:cs="Times New Roman"/>
                              <w:sz w:val="3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D7Ob46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Calibri" w:hAnsi="Calibri" w:eastAsia="宋体" w:cs="Times New Roman"/>
                        <w:kern w:val="2"/>
                        <w:sz w:val="32"/>
                        <w:szCs w:val="22"/>
                        <w:lang w:val="en-US" w:eastAsia="zh-CN" w:bidi="ar-SA"/>
                      </w:rPr>
                      <w:id w:val="2199271"/>
                    </w:sdtPr>
                    <w:sdtEndP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sdtEndPr>
                    <w:sdtContent>
                      <w:p>
                        <w:pPr>
                          <w:widowControl w:val="0"/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ind w:left="210" w:leftChars="100" w:right="210" w:rightChars="100"/>
                          <w:jc w:val="center"/>
                          <w:rPr>
                            <w:rFonts w:ascii="Calibri" w:hAnsi="Calibri" w:eastAsia="宋体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kern w:val="2"/>
                            <w:sz w:val="28"/>
                            <w:szCs w:val="28"/>
                            <w:lang w:val="zh-CN" w:eastAsia="zh-CN" w:bidi="ar-SA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val="zh-CN" w:eastAsia="zh-CN" w:bidi="ar-SA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="Calibri" w:hAnsi="Calibri" w:eastAsia="宋体" w:cs="Times New Roman"/>
                        <w:sz w:val="3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99F"/>
    <w:multiLevelType w:val="singleLevel"/>
    <w:tmpl w:val="26B369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8336B"/>
    <w:rsid w:val="3FC80D6D"/>
    <w:rsid w:val="4E6F2DE0"/>
    <w:rsid w:val="8EBF6F97"/>
    <w:rsid w:val="DFFF32A2"/>
    <w:rsid w:val="F9FD3271"/>
    <w:rsid w:val="FF5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ind w:firstLine="0" w:firstLineChars="0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inspur</cp:lastModifiedBy>
  <dcterms:modified xsi:type="dcterms:W3CDTF">2023-03-16T16:33:54Z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4B371771D21D4EC49D1CFCE4D994C5A7</vt:lpwstr>
  </property>
</Properties>
</file>