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黑体" w:cs="Times New Roman"/>
          <w:b w:val="0"/>
          <w:bCs w:val="0"/>
          <w:color w:val="auto"/>
          <w:sz w:val="32"/>
          <w:szCs w:val="32"/>
          <w:lang w:eastAsia="zh-CN"/>
        </w:rPr>
      </w:pPr>
      <w:bookmarkStart w:id="0" w:name="_GoBack"/>
      <w:bookmarkEnd w:id="0"/>
      <w:r>
        <w:rPr>
          <w:rFonts w:hint="default" w:ascii="Times New Roman" w:hAnsi="Times New Roman" w:eastAsia="黑体" w:cs="Times New Roman"/>
          <w:b w:val="0"/>
          <w:bCs w:val="0"/>
          <w:color w:val="auto"/>
          <w:sz w:val="32"/>
          <w:szCs w:val="32"/>
          <w:lang w:eastAsia="zh-CN"/>
        </w:rPr>
        <w:t>附</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eastAsia="zh-CN"/>
        </w:rPr>
        <w:t>件</w:t>
      </w:r>
    </w:p>
    <w:p>
      <w:pPr>
        <w:pStyle w:val="2"/>
        <w:rPr>
          <w:rFonts w:hint="default" w:ascii="Times New Roman" w:hAnsi="Times New Roman" w:eastAsia="黑体" w:cs="Times New Roman"/>
          <w:b w:val="0"/>
          <w:bCs w:val="0"/>
          <w:color w:val="auto"/>
          <w:sz w:val="32"/>
          <w:szCs w:val="32"/>
          <w:lang w:eastAsia="zh-CN"/>
        </w:rPr>
      </w:pPr>
    </w:p>
    <w:p>
      <w:pPr>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2021年郑州市高技能人才工作实施方案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人才工作领导小组2021年第一次会议精神，结合郑州市职业技能提升行动有关工作要求，进一步健全我市高技能人才培养工作各项机制，为我市经济社会高质量发展和建设国家中心城市提供坚实的高技能人才支撑，特制定本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    一、总体目标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2021年全市新增高技能人才目标任务1.85万人，其中，新增技师5550人。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 xml:space="preserve">    </w:t>
      </w:r>
      <w:r>
        <w:rPr>
          <w:rFonts w:hint="default" w:ascii="黑体" w:hAnsi="黑体" w:eastAsia="黑体" w:cs="黑体"/>
          <w:b w:val="0"/>
          <w:bCs w:val="0"/>
          <w:color w:val="auto"/>
          <w:kern w:val="0"/>
          <w:sz w:val="32"/>
          <w:szCs w:val="32"/>
        </w:rPr>
        <w:t>二、任务分工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根据国家职业资格工种分类和有关单位职能，将高技能人才任务分解为市本级任务、区县（市）任务和分项任务。（具体任务数见附表1至表5）</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default" w:ascii="黑体" w:hAnsi="黑体" w:eastAsia="黑体" w:cs="黑体"/>
          <w:b w:val="0"/>
          <w:bCs w:val="0"/>
          <w:color w:val="auto"/>
          <w:kern w:val="0"/>
          <w:sz w:val="32"/>
          <w:szCs w:val="32"/>
          <w:lang w:val="en-US" w:eastAsia="zh-CN" w:bidi="ar-SA"/>
        </w:rPr>
      </w:pPr>
      <w:r>
        <w:rPr>
          <w:rFonts w:hint="default" w:ascii="黑体" w:hAnsi="黑体" w:eastAsia="黑体" w:cs="黑体"/>
          <w:b w:val="0"/>
          <w:bCs w:val="0"/>
          <w:color w:val="auto"/>
          <w:kern w:val="0"/>
          <w:sz w:val="32"/>
          <w:szCs w:val="32"/>
          <w:lang w:val="en-US" w:eastAsia="zh-CN" w:bidi="ar-SA"/>
        </w:rPr>
        <w:t>三、重点工作及责任分工</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rPr>
        <w:t>（一）实施急需紧缺工种技能人才培养计划。</w:t>
      </w:r>
      <w:r>
        <w:rPr>
          <w:rFonts w:hint="default" w:ascii="Times New Roman" w:hAnsi="Times New Roman" w:eastAsia="仿宋_GB2312" w:cs="Times New Roman"/>
          <w:color w:val="auto"/>
          <w:kern w:val="2"/>
          <w:sz w:val="32"/>
          <w:szCs w:val="32"/>
        </w:rPr>
        <w:t>根据我市高技能人才实际需求，加大焊工、钳工、电工、叉车司机、汽车维修工、汽车装配工、污水处理工、道路客运驾驶员、眼镜定配工、架子工、钢筋工、电梯安装维修工、物流师、轨道列车车辆检修工和育婴员等急需紧缺工种培养力度。（责任分工：市人社局、市城建局、市退役军人局、市国资委）</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楷体_GB2312" w:hAnsi="楷体_GB2312" w:eastAsia="楷体_GB2312" w:cs="楷体_GB2312"/>
          <w:color w:val="auto"/>
          <w:kern w:val="2"/>
          <w:sz w:val="32"/>
          <w:szCs w:val="32"/>
        </w:rPr>
        <w:t>（二）实施战略性新兴产业、先进制造业产业技能工人培养计划。</w:t>
      </w:r>
      <w:r>
        <w:rPr>
          <w:rFonts w:hint="default" w:ascii="Times New Roman" w:hAnsi="Times New Roman" w:eastAsia="仿宋_GB2312" w:cs="Times New Roman"/>
          <w:color w:val="auto"/>
          <w:kern w:val="2"/>
          <w:sz w:val="32"/>
          <w:szCs w:val="32"/>
        </w:rPr>
        <w:t>围绕郑州国家中心城市建设发展需要，结合国家人社部等各行业、部委联合公布的13个新职业目录，推动以先进制造业为核心、新兴产业为新经济增长点的实体经济不断迈向高质量发展，大规模开展新一代信息技术（5G）、高端装备制造、绿色低碳、人工智能、大数据（云计算）、生物医药、新材料等相关产业技能人才培养。结合高技能人才中长期规划和郑州市“金蓝领”技能提升培训，指导企业拟定产业工人培养方案，适时组织高技能人才和产业紧缺人才开展技能提升培训，大力培养复合型高素质技能人才，全面提升相关产业工人的综合素质和技能水平。年新培养相关产业技能人才2000人。（责任分工：市科技局、市工信局、市国资委、市大数据局）</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楷体_GB2312" w:hAnsi="楷体_GB2312" w:eastAsia="楷体_GB2312" w:cs="楷体_GB2312"/>
          <w:color w:val="auto"/>
          <w:kern w:val="2"/>
          <w:sz w:val="32"/>
          <w:szCs w:val="32"/>
        </w:rPr>
        <w:t>（三）实施现代服务业人才培养计划。</w:t>
      </w:r>
      <w:r>
        <w:rPr>
          <w:rFonts w:hint="default" w:ascii="Times New Roman" w:hAnsi="Times New Roman" w:eastAsia="仿宋_GB2312" w:cs="Times New Roman"/>
          <w:color w:val="auto"/>
          <w:kern w:val="2"/>
          <w:sz w:val="32"/>
          <w:szCs w:val="32"/>
        </w:rPr>
        <w:t>强化政府引导，多部门协调机制，推动生产性服务业向专业化和价值链高端延伸，推动生活性服务业向高品质和多样化升级，大力开展现代物流、康养护理、金融保险、电子商务、导游导购、餐饮服务、家政服务等现代服务业技能人才培养，提升我市现代服务业整体职业技能水品。年新培养人才3000人。（市民政局、市商务局、市文化广电和旅游局、市卫健委）</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楷体_GB2312" w:hAnsi="楷体_GB2312" w:eastAsia="楷体_GB2312" w:cs="楷体_GB2312"/>
          <w:color w:val="auto"/>
          <w:kern w:val="2"/>
          <w:sz w:val="32"/>
          <w:szCs w:val="32"/>
        </w:rPr>
        <w:t>（四）实施职业技能竞赛人才培养计划。</w:t>
      </w:r>
      <w:r>
        <w:rPr>
          <w:rFonts w:hint="default" w:ascii="Times New Roman" w:hAnsi="Times New Roman" w:eastAsia="仿宋_GB2312" w:cs="Times New Roman"/>
          <w:color w:val="auto"/>
          <w:kern w:val="2"/>
          <w:sz w:val="32"/>
          <w:szCs w:val="32"/>
        </w:rPr>
        <w:t>统筹世界技能大赛和各级职业技能竞赛系列活动，持续开展郑州市百万职工技能比武活动暨郑州市职业技能竞赛，并按有关规定核发相应等级职业技能等级证书。强化各类赛事的备赛集训工作，加大对国家级、省级和市级世赛集训基地的支持力度，推进世界技能大赛标准应用和成果转化。积极申办承办国家级和省级一类职业技能竞赛、争创精品赛事、品牌赛事。支持企业、院校开展备战职业技能竞赛专项培训，给予一定资金奖补。（区县（市）人民政府、市职业技能竞赛领导小组成员单位）</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楷体_GB2312" w:hAnsi="楷体_GB2312" w:eastAsia="楷体_GB2312" w:cs="楷体_GB2312"/>
          <w:color w:val="auto"/>
          <w:kern w:val="2"/>
          <w:sz w:val="32"/>
          <w:szCs w:val="32"/>
        </w:rPr>
        <w:t>（五）实施高技能人才梯队培养和实用型高技能人才培养计划。</w:t>
      </w:r>
      <w:r>
        <w:rPr>
          <w:rFonts w:hint="default" w:ascii="Times New Roman" w:hAnsi="Times New Roman" w:eastAsia="仿宋_GB2312" w:cs="Times New Roman"/>
          <w:color w:val="auto"/>
          <w:kern w:val="2"/>
          <w:sz w:val="32"/>
          <w:szCs w:val="32"/>
        </w:rPr>
        <w:t>发挥技工（职业）院校、企业和职业技能培训机构作用，培养社会实用型高技能人才。指导技工（职业）院校根据市场需求设立专业，培养一批适应我市经济和社会发展的高技能实用型人才。组织各类职业培训机构，按照国家职业标准和岗位规范要求，有计划地进行初、中、高级技能人才阶梯式培养。引导、鼓励企业通过自办培训机构，与职业院校和培训机构联合办学、委托培养等方式，加快高技能人才的培养。（市教育局、市人社局、市商务局）</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default" w:ascii="黑体" w:hAnsi="黑体" w:eastAsia="黑体" w:cs="黑体"/>
          <w:b w:val="0"/>
          <w:bCs w:val="0"/>
          <w:color w:val="auto"/>
          <w:kern w:val="0"/>
          <w:sz w:val="32"/>
          <w:szCs w:val="32"/>
          <w:lang w:val="en-US" w:eastAsia="zh-CN" w:bidi="ar-SA"/>
        </w:rPr>
      </w:pPr>
      <w:r>
        <w:rPr>
          <w:rFonts w:hint="default" w:ascii="黑体" w:hAnsi="黑体" w:eastAsia="黑体" w:cs="黑体"/>
          <w:b w:val="0"/>
          <w:bCs w:val="0"/>
          <w:color w:val="auto"/>
          <w:kern w:val="0"/>
          <w:sz w:val="32"/>
          <w:szCs w:val="32"/>
          <w:lang w:val="en-US" w:eastAsia="zh-CN" w:bidi="ar-SA"/>
        </w:rPr>
        <w:t>四、培训补贴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郑州市高技能人才公共实训管理服务中心（以下简称市高训中心）依据郑州市职业技能提升行动相关文件要求，负责高技能人才培训补贴相关申报工作，相关资料审核后报市人社局，并按规定申请、发放相关补贴。</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b/>
          <w:bCs/>
          <w:color w:val="auto"/>
          <w:kern w:val="2"/>
          <w:sz w:val="32"/>
          <w:szCs w:val="32"/>
        </w:rPr>
      </w:pPr>
      <w:r>
        <w:rPr>
          <w:rFonts w:hint="default" w:ascii="黑体" w:hAnsi="黑体" w:eastAsia="黑体" w:cs="黑体"/>
          <w:b w:val="0"/>
          <w:bCs w:val="0"/>
          <w:color w:val="auto"/>
          <w:kern w:val="0"/>
          <w:sz w:val="32"/>
          <w:szCs w:val="32"/>
          <w:lang w:val="en-US" w:eastAsia="zh-CN" w:bidi="ar-SA"/>
        </w:rPr>
        <w:t xml:space="preserve">五、组织实施 </w:t>
      </w:r>
      <w:r>
        <w:rPr>
          <w:rFonts w:hint="default" w:ascii="Times New Roman" w:hAnsi="Times New Roman" w:eastAsia="仿宋_GB2312" w:cs="Times New Roman"/>
          <w:b/>
          <w:bCs/>
          <w:color w:val="auto"/>
          <w:kern w:val="2"/>
          <w:sz w:val="32"/>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高训中心为2021年郑州市高技能人才任务主要责任单位，实施高技能人才工作推进事宜，具体承担各相关企业、基地高技能人才培养和技师项目国家职业资格考评任务，协调全市高技能人才工作。郑州市职业技能培训教研室（市鉴定中心）承担高技能人才考核任务。</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default" w:ascii="黑体" w:hAnsi="黑体" w:eastAsia="黑体" w:cs="黑体"/>
          <w:b w:val="0"/>
          <w:bCs w:val="0"/>
          <w:color w:val="auto"/>
          <w:kern w:val="0"/>
          <w:sz w:val="32"/>
          <w:szCs w:val="32"/>
          <w:lang w:val="en-US" w:eastAsia="zh-CN" w:bidi="ar-SA"/>
        </w:rPr>
      </w:pPr>
      <w:r>
        <w:rPr>
          <w:rFonts w:hint="default" w:ascii="黑体" w:hAnsi="黑体" w:eastAsia="黑体" w:cs="黑体"/>
          <w:b w:val="0"/>
          <w:bCs w:val="0"/>
          <w:color w:val="auto"/>
          <w:kern w:val="0"/>
          <w:sz w:val="32"/>
          <w:szCs w:val="32"/>
          <w:lang w:val="en-US" w:eastAsia="zh-CN" w:bidi="ar-SA"/>
        </w:rPr>
        <w:t>六、目标考核</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各高技能人才培养责任单位培养高技能人数纳入市委、市政府年度综合考评工作目标，具体完成任务数以取得高级工及以上国家职业资格证书或职业技能等级证书为准。目标任务完成情况由市高训中心进行月统计，根据各单位工作情况，不定时召开</w:t>
      </w:r>
      <w:r>
        <w:rPr>
          <w:rFonts w:hint="default" w:ascii="Times New Roman" w:hAnsi="Times New Roman" w:eastAsia="仿宋_GB2312" w:cs="Times New Roman"/>
          <w:color w:val="auto"/>
          <w:sz w:val="32"/>
          <w:szCs w:val="32"/>
        </w:rPr>
        <w:t>工作调度会，适时进行通报。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    </w:t>
      </w:r>
      <w:r>
        <w:rPr>
          <w:rFonts w:hint="default" w:ascii="黑体" w:hAnsi="黑体" w:eastAsia="黑体" w:cs="黑体"/>
          <w:b w:val="0"/>
          <w:bCs w:val="0"/>
          <w:color w:val="auto"/>
          <w:kern w:val="0"/>
          <w:sz w:val="32"/>
          <w:szCs w:val="32"/>
          <w:lang w:val="en-US" w:eastAsia="zh-CN" w:bidi="ar-SA"/>
        </w:rPr>
        <w:t>七、其他注意事项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（一）各相关单位</w:t>
      </w:r>
      <w:r>
        <w:rPr>
          <w:rFonts w:hint="default" w:ascii="Times New Roman" w:hAnsi="Times New Roman" w:eastAsia="仿宋_GB2312" w:cs="Times New Roman"/>
          <w:color w:val="auto"/>
          <w:kern w:val="0"/>
          <w:sz w:val="32"/>
          <w:szCs w:val="32"/>
        </w:rPr>
        <w:t>要高度重视，加强组织领导，将高技能人才工作同本部门高技能人才队伍建设和2021年任务指标完成工作结合起来，精心组织，广泛宣传，按时间节点高效完成高技能人才目标任务。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高训中心和市鉴定中心要积极配合市人社局对接各任务单位，做好高技能人才相关工作。其中，市高训中心要积极对接任务单位，做好高技能人才培养、推进工作，市鉴定中心要做好高技能人才获取证书的相关保障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技能人才评价试点企业相关工作按照《河南省人力资源和社会保障厅 河南省工业和信息化厅 河南省人民政府国有资产监督委员会关于推进企业技能人才评价试点工作的通知》（豫人社职业〔2010〕21号）有关规定执行。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w:t>
      </w:r>
      <w:r>
        <w:rPr>
          <w:rFonts w:hint="default" w:ascii="黑体" w:hAnsi="黑体" w:eastAsia="黑体" w:cs="黑体"/>
          <w:b w:val="0"/>
          <w:bCs w:val="0"/>
          <w:color w:val="auto"/>
          <w:kern w:val="0"/>
          <w:sz w:val="32"/>
          <w:szCs w:val="32"/>
          <w:lang w:val="en-US" w:eastAsia="zh-CN" w:bidi="ar-SA"/>
        </w:rPr>
        <w:t xml:space="preserve"> 八、联系人及联系方式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政策咨询：李杵柯  赵  丹  徐超良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0371—67177610  67185140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市人社局职业能力建设处312室（陇海西路360号，工人路陇海路交叉口西南角）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高技能人才培养、补贴申报：张  爽   高  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0371—67887717  67887726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市人社局机关楼1409室（陇海西路360号，工人路陇海路交叉口西南角）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技工院校、社会培训评价组织职业技能等级认定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  静</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0371—67185994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市人社局汝河路办公区211室（郑州市中原区汝河路86号3号楼）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企业开展职业技能等级认定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凡金伟</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0371—67188728</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市人社局汝河路办公区市鉴定中心109室（郑州市中原区汝河路86号3号楼）</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仿宋_GB2312" w:cs="Times New Roman"/>
          <w:color w:val="auto"/>
          <w:sz w:val="32"/>
          <w:szCs w:val="32"/>
        </w:rPr>
      </w:pPr>
    </w:p>
    <w:p>
      <w:pPr>
        <w:rPr>
          <w:rFonts w:hint="eastAsia" w:eastAsia="仿宋_GB2312"/>
          <w:b/>
          <w:bCs/>
        </w:rPr>
      </w:pPr>
      <w:r>
        <w:rPr>
          <w:rFonts w:hint="eastAsia" w:eastAsia="仿宋_GB2312"/>
          <w:b/>
          <w:bCs/>
        </w:rPr>
        <w:t>表1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2021年高技能人才培养目标任务分解表</w:t>
      </w:r>
    </w:p>
    <w:tbl>
      <w:tblPr>
        <w:tblStyle w:val="9"/>
        <w:tblW w:w="9373" w:type="dxa"/>
        <w:jc w:val="center"/>
        <w:tblLayout w:type="fixed"/>
        <w:tblCellMar>
          <w:top w:w="0" w:type="dxa"/>
          <w:left w:w="15" w:type="dxa"/>
          <w:bottom w:w="0" w:type="dxa"/>
          <w:right w:w="15" w:type="dxa"/>
        </w:tblCellMar>
      </w:tblPr>
      <w:tblGrid>
        <w:gridCol w:w="869"/>
        <w:gridCol w:w="3660"/>
        <w:gridCol w:w="2310"/>
        <w:gridCol w:w="2534"/>
      </w:tblGrid>
      <w:tr>
        <w:tblPrEx>
          <w:tblCellMar>
            <w:top w:w="0" w:type="dxa"/>
            <w:left w:w="15" w:type="dxa"/>
            <w:bottom w:w="0" w:type="dxa"/>
            <w:right w:w="15" w:type="dxa"/>
          </w:tblCellMar>
        </w:tblPrEx>
        <w:trPr>
          <w:trHeight w:val="765"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序号</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单位</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新增培养高</w:t>
            </w:r>
            <w:r>
              <w:rPr>
                <w:rFonts w:hint="eastAsia" w:ascii="黑体" w:hAnsi="黑体" w:eastAsia="黑体" w:cs="黑体"/>
                <w:b w:val="0"/>
                <w:bCs/>
                <w:color w:val="000000"/>
                <w:sz w:val="28"/>
                <w:szCs w:val="28"/>
              </w:rPr>
              <w:br w:type="textWrapping"/>
            </w:r>
            <w:r>
              <w:rPr>
                <w:rFonts w:hint="eastAsia" w:ascii="黑体" w:hAnsi="黑体" w:eastAsia="黑体" w:cs="黑体"/>
                <w:b w:val="0"/>
                <w:bCs/>
                <w:color w:val="000000"/>
                <w:sz w:val="28"/>
                <w:szCs w:val="28"/>
              </w:rPr>
              <w:t>技能人才（人）</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新增培养技师（人）</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郑州市总计</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18500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5550</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2</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市本级</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16900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5070</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3</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区县（市）合计</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1600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480</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4</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航空港区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120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35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5</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郑东新区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110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33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6</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高新区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120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36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7</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经开区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31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8</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登封市</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31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9</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新密市</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110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33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10</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荥阳市</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110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33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11</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新郑市</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120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36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12</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中牟县</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120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35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13</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中原区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110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33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14</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二七区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31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15</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金水区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120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36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16</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管城区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100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31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17</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惠济区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110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33 </w:t>
            </w:r>
          </w:p>
        </w:tc>
      </w:tr>
      <w:tr>
        <w:tblPrEx>
          <w:tblCellMar>
            <w:top w:w="0" w:type="dxa"/>
            <w:left w:w="15" w:type="dxa"/>
            <w:bottom w:w="0" w:type="dxa"/>
            <w:right w:w="15" w:type="dxa"/>
          </w:tblCellMar>
        </w:tblPrEx>
        <w:trPr>
          <w:trHeight w:val="51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18</w:t>
            </w:r>
          </w:p>
        </w:tc>
        <w:tc>
          <w:tcPr>
            <w:tcW w:w="3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szCs w:val="28"/>
              </w:rPr>
            </w:pPr>
            <w:r>
              <w:rPr>
                <w:rFonts w:ascii="仿宋_GB2312" w:hAnsi="宋体"/>
                <w:color w:val="000000"/>
                <w:sz w:val="28"/>
                <w:szCs w:val="28"/>
              </w:rPr>
              <w:t>上街区</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50</w:t>
            </w:r>
          </w:p>
        </w:tc>
        <w:tc>
          <w:tcPr>
            <w:tcW w:w="25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szCs w:val="28"/>
              </w:rPr>
            </w:pPr>
            <w:r>
              <w:rPr>
                <w:rFonts w:hAnsi="宋体"/>
                <w:color w:val="000000"/>
                <w:sz w:val="28"/>
                <w:szCs w:val="28"/>
              </w:rPr>
              <w:t xml:space="preserve">13 </w:t>
            </w:r>
          </w:p>
        </w:tc>
      </w:tr>
    </w:tbl>
    <w:p>
      <w:pPr>
        <w:jc w:val="center"/>
        <w:rPr>
          <w:rFonts w:hint="eastAsia" w:eastAsia="仿宋_GB2312"/>
          <w:b/>
          <w:bCs/>
        </w:rPr>
      </w:pPr>
    </w:p>
    <w:p>
      <w:pPr>
        <w:rPr>
          <w:rFonts w:hint="eastAsia" w:eastAsia="仿宋_GB2312"/>
          <w:b/>
          <w:bCs/>
        </w:rPr>
      </w:pPr>
      <w:r>
        <w:rPr>
          <w:rFonts w:hint="eastAsia" w:eastAsia="仿宋_GB2312"/>
          <w:b/>
          <w:bCs/>
        </w:rPr>
        <w:t>表2</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2021年高技能人才培养目标任务市本级分解表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（市直部门）</w:t>
      </w:r>
    </w:p>
    <w:p>
      <w:pPr>
        <w:pStyle w:val="2"/>
        <w:rPr>
          <w:rFonts w:hint="eastAsia"/>
        </w:rPr>
      </w:pPr>
    </w:p>
    <w:tbl>
      <w:tblPr>
        <w:tblStyle w:val="9"/>
        <w:tblW w:w="9225" w:type="dxa"/>
        <w:jc w:val="center"/>
        <w:tblLayout w:type="fixed"/>
        <w:tblCellMar>
          <w:top w:w="0" w:type="dxa"/>
          <w:left w:w="15" w:type="dxa"/>
          <w:bottom w:w="0" w:type="dxa"/>
          <w:right w:w="15" w:type="dxa"/>
        </w:tblCellMar>
      </w:tblPr>
      <w:tblGrid>
        <w:gridCol w:w="870"/>
        <w:gridCol w:w="3840"/>
        <w:gridCol w:w="2445"/>
        <w:gridCol w:w="2070"/>
      </w:tblGrid>
      <w:tr>
        <w:tblPrEx>
          <w:tblCellMar>
            <w:top w:w="0" w:type="dxa"/>
            <w:left w:w="15" w:type="dxa"/>
            <w:bottom w:w="0" w:type="dxa"/>
            <w:right w:w="15" w:type="dxa"/>
          </w:tblCellMar>
        </w:tblPrEx>
        <w:trPr>
          <w:trHeight w:val="78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序号</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单位</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新增培养高</w:t>
            </w:r>
            <w:r>
              <w:rPr>
                <w:rFonts w:hint="eastAsia" w:ascii="黑体" w:hAnsi="黑体" w:eastAsia="黑体" w:cs="黑体"/>
                <w:b w:val="0"/>
                <w:bCs/>
                <w:color w:val="000000"/>
                <w:sz w:val="28"/>
                <w:szCs w:val="28"/>
              </w:rPr>
              <w:br w:type="textWrapping"/>
            </w:r>
            <w:r>
              <w:rPr>
                <w:rFonts w:hint="eastAsia" w:ascii="黑体" w:hAnsi="黑体" w:eastAsia="黑体" w:cs="黑体"/>
                <w:b w:val="0"/>
                <w:bCs/>
                <w:color w:val="000000"/>
                <w:sz w:val="28"/>
                <w:szCs w:val="28"/>
              </w:rPr>
              <w:t>技能人才（人）</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其中技师培养（人）</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市教育局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300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2</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市科技局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200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60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市工信局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4</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市公安局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市民政局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6</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市司法局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7</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市城建局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8</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市商务局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90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9</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市文化广电和旅游局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700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210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市卫健委</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11</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市退役军人局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300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12</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市应急局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13</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市国资委</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400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120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14</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市大数据局</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90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15</w:t>
            </w:r>
          </w:p>
        </w:tc>
        <w:tc>
          <w:tcPr>
            <w:tcW w:w="3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市妇联</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200</w:t>
            </w: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bottom"/>
              <w:outlineLvl w:val="9"/>
              <w:rPr>
                <w:rFonts w:hAnsi="宋体"/>
                <w:color w:val="000000"/>
                <w:sz w:val="28"/>
              </w:rPr>
            </w:pPr>
            <w:r>
              <w:rPr>
                <w:rFonts w:hAnsi="宋体"/>
                <w:color w:val="000000"/>
                <w:sz w:val="28"/>
              </w:rPr>
              <w:t>60</w:t>
            </w:r>
          </w:p>
        </w:tc>
      </w:tr>
      <w:tr>
        <w:tblPrEx>
          <w:tblCellMar>
            <w:top w:w="0" w:type="dxa"/>
            <w:left w:w="15" w:type="dxa"/>
            <w:bottom w:w="0" w:type="dxa"/>
            <w:right w:w="15" w:type="dxa"/>
          </w:tblCellMar>
        </w:tblPrEx>
        <w:trPr>
          <w:trHeight w:val="510" w:hRule="atLeast"/>
          <w:jc w:val="center"/>
        </w:trPr>
        <w:tc>
          <w:tcPr>
            <w:tcW w:w="47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合计</w:t>
            </w:r>
          </w:p>
        </w:tc>
        <w:tc>
          <w:tcPr>
            <w:tcW w:w="24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7600</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2280</w:t>
            </w:r>
          </w:p>
        </w:tc>
      </w:tr>
    </w:tbl>
    <w:p>
      <w:pPr>
        <w:jc w:val="center"/>
        <w:rPr>
          <w:rFonts w:hint="eastAsia" w:eastAsia="仿宋_GB2312"/>
          <w:b/>
          <w:bCs/>
        </w:rPr>
      </w:pPr>
    </w:p>
    <w:p>
      <w:pPr>
        <w:jc w:val="center"/>
        <w:rPr>
          <w:rFonts w:hint="eastAsia" w:eastAsia="仿宋_GB2312"/>
          <w:b/>
          <w:bCs/>
        </w:rPr>
      </w:pPr>
    </w:p>
    <w:p>
      <w:pPr>
        <w:rPr>
          <w:rFonts w:hint="eastAsia" w:eastAsia="仿宋_GB2312"/>
          <w:b/>
          <w:bCs/>
        </w:rPr>
      </w:pPr>
      <w:r>
        <w:rPr>
          <w:rFonts w:hint="eastAsia" w:eastAsia="仿宋_GB2312"/>
          <w:b/>
          <w:bCs/>
        </w:rPr>
        <w:t>表3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2021年高技能人才培养目标任务市本级分解表</w:t>
      </w:r>
    </w:p>
    <w:p>
      <w:pPr>
        <w:jc w:val="center"/>
        <w:rPr>
          <w:rFonts w:hint="eastAsia" w:ascii="楷体_GB2312" w:hAnsi="楷体_GB2312" w:eastAsia="楷体_GB2312" w:cs="楷体_GB2312"/>
          <w:b w:val="0"/>
          <w:bCs w:val="0"/>
        </w:rPr>
      </w:pPr>
      <w:r>
        <w:rPr>
          <w:rFonts w:hint="eastAsia" w:ascii="楷体_GB2312" w:hAnsi="楷体_GB2312" w:eastAsia="楷体_GB2312" w:cs="楷体_GB2312"/>
          <w:b w:val="0"/>
          <w:bCs w:val="0"/>
        </w:rPr>
        <w:t>（企业职业技能等级认定机构）</w:t>
      </w:r>
    </w:p>
    <w:tbl>
      <w:tblPr>
        <w:tblStyle w:val="9"/>
        <w:tblW w:w="8640" w:type="dxa"/>
        <w:jc w:val="center"/>
        <w:tblLayout w:type="fixed"/>
        <w:tblCellMar>
          <w:top w:w="0" w:type="dxa"/>
          <w:left w:w="15" w:type="dxa"/>
          <w:bottom w:w="0" w:type="dxa"/>
          <w:right w:w="15" w:type="dxa"/>
        </w:tblCellMar>
      </w:tblPr>
      <w:tblGrid>
        <w:gridCol w:w="870"/>
        <w:gridCol w:w="5550"/>
        <w:gridCol w:w="2220"/>
      </w:tblGrid>
      <w:tr>
        <w:tblPrEx>
          <w:tblCellMar>
            <w:top w:w="0" w:type="dxa"/>
            <w:left w:w="15" w:type="dxa"/>
            <w:bottom w:w="0" w:type="dxa"/>
            <w:right w:w="15" w:type="dxa"/>
          </w:tblCellMar>
        </w:tblPrEx>
        <w:trPr>
          <w:trHeight w:val="545"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序号</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单位</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新增培养高</w:t>
            </w:r>
            <w:r>
              <w:rPr>
                <w:rFonts w:hint="eastAsia" w:ascii="黑体" w:hAnsi="黑体" w:eastAsia="黑体" w:cs="黑体"/>
                <w:b w:val="0"/>
                <w:bCs/>
                <w:color w:val="000000"/>
                <w:sz w:val="28"/>
                <w:szCs w:val="28"/>
              </w:rPr>
              <w:br w:type="textWrapping"/>
            </w:r>
            <w:r>
              <w:rPr>
                <w:rFonts w:hint="eastAsia" w:ascii="黑体" w:hAnsi="黑体" w:eastAsia="黑体" w:cs="黑体"/>
                <w:b w:val="0"/>
                <w:bCs/>
                <w:color w:val="000000"/>
                <w:sz w:val="28"/>
                <w:szCs w:val="28"/>
              </w:rPr>
              <w:t>技能人才（人）</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郑州市公共交通集团有限公司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2</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郑州丹尼斯百货有限公司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好想你健康食品股份有限公司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4</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三全食品股份有限公司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郑州宇通集团有限公司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6</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河南正道商业有限公司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7</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郑州煤矿机械集团股份有限公司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8</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河南省黄河迎宾馆</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9</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中原环保股份有限公司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河南天地粤海酒店</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11</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海马汽车有限公司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12</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郑州市污水净化有限公司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13</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郑州日产汽车有限公司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14</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中鑫之宝汽车服务有限公司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15</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河南小南国投资发展有限公司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16</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中煤新登郑州煤业有限公司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17</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河南省永和铂爵国际酒店有限公司</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510" w:hRule="atLeast"/>
          <w:jc w:val="center"/>
        </w:trPr>
        <w:tc>
          <w:tcPr>
            <w:tcW w:w="64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合计</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900</w:t>
            </w:r>
          </w:p>
        </w:tc>
      </w:tr>
    </w:tbl>
    <w:p>
      <w:pPr>
        <w:rPr>
          <w:rFonts w:hint="eastAsia" w:eastAsia="仿宋_GB2312"/>
          <w:b/>
          <w:bCs/>
        </w:rPr>
      </w:pPr>
      <w:r>
        <w:rPr>
          <w:rFonts w:hint="eastAsia" w:eastAsia="仿宋_GB2312"/>
          <w:b/>
          <w:bCs/>
        </w:rPr>
        <w:t>表4</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2021年高技能人才培养目标任务市本级分解表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rPr>
      </w:pPr>
      <w:r>
        <w:rPr>
          <w:rFonts w:hint="eastAsia" w:ascii="楷体_GB2312" w:hAnsi="楷体_GB2312" w:eastAsia="楷体_GB2312" w:cs="楷体_GB2312"/>
          <w:b w:val="0"/>
          <w:bCs w:val="0"/>
        </w:rPr>
        <w:t>（市技能人才评价试点企业）</w:t>
      </w:r>
    </w:p>
    <w:p>
      <w:pPr>
        <w:pStyle w:val="2"/>
        <w:rPr>
          <w:rFonts w:hint="eastAsia"/>
        </w:rPr>
      </w:pPr>
    </w:p>
    <w:tbl>
      <w:tblPr>
        <w:tblStyle w:val="9"/>
        <w:tblW w:w="9330" w:type="dxa"/>
        <w:jc w:val="center"/>
        <w:tblLayout w:type="fixed"/>
        <w:tblCellMar>
          <w:top w:w="0" w:type="dxa"/>
          <w:left w:w="15" w:type="dxa"/>
          <w:bottom w:w="0" w:type="dxa"/>
          <w:right w:w="15" w:type="dxa"/>
        </w:tblCellMar>
      </w:tblPr>
      <w:tblGrid>
        <w:gridCol w:w="870"/>
        <w:gridCol w:w="6090"/>
        <w:gridCol w:w="2370"/>
      </w:tblGrid>
      <w:tr>
        <w:tblPrEx>
          <w:tblCellMar>
            <w:top w:w="0" w:type="dxa"/>
            <w:left w:w="15" w:type="dxa"/>
            <w:bottom w:w="0" w:type="dxa"/>
            <w:right w:w="15" w:type="dxa"/>
          </w:tblCellMar>
        </w:tblPrEx>
        <w:trPr>
          <w:trHeight w:val="81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序号</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单位</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新增培养高</w:t>
            </w:r>
            <w:r>
              <w:rPr>
                <w:rFonts w:hint="eastAsia" w:ascii="黑体" w:hAnsi="黑体" w:eastAsia="黑体" w:cs="黑体"/>
                <w:b w:val="0"/>
                <w:bCs/>
                <w:color w:val="000000"/>
                <w:sz w:val="28"/>
                <w:szCs w:val="28"/>
              </w:rPr>
              <w:br w:type="textWrapping"/>
            </w:r>
            <w:r>
              <w:rPr>
                <w:rFonts w:hint="eastAsia" w:ascii="黑体" w:hAnsi="黑体" w:eastAsia="黑体" w:cs="黑体"/>
                <w:b w:val="0"/>
                <w:bCs/>
                <w:color w:val="000000"/>
                <w:sz w:val="28"/>
                <w:szCs w:val="28"/>
              </w:rPr>
              <w:t>技能人才（人）</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恒天重工股份有限公司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2</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中铁工程装备集团有限公司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河南中夏建筑工程有限公司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150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4</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格力电器（郑州）有限公司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80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郑州领袖梦舒雅服饰有限公司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40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6</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郑州旭飞光电科技有限公司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7</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郑州华润燃气股份有限公司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8</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郑州飞机装备有限责任公司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9</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郑州宝视达品牌管理有限公司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40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河南省巨通机电设备有限公司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11</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河南多凯建筑工程有限公司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100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12</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河南皇甲特卫保安服务集团有限公司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50</w:t>
            </w:r>
          </w:p>
        </w:tc>
      </w:tr>
      <w:tr>
        <w:tblPrEx>
          <w:tblCellMar>
            <w:top w:w="0" w:type="dxa"/>
            <w:left w:w="15" w:type="dxa"/>
            <w:bottom w:w="0" w:type="dxa"/>
            <w:right w:w="15"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13</w:t>
            </w:r>
          </w:p>
        </w:tc>
        <w:tc>
          <w:tcPr>
            <w:tcW w:w="6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河南省五建建设集团有限公司</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30</w:t>
            </w:r>
          </w:p>
        </w:tc>
      </w:tr>
      <w:tr>
        <w:tblPrEx>
          <w:tblCellMar>
            <w:top w:w="0" w:type="dxa"/>
            <w:left w:w="15" w:type="dxa"/>
            <w:bottom w:w="0" w:type="dxa"/>
            <w:right w:w="15" w:type="dxa"/>
          </w:tblCellMar>
        </w:tblPrEx>
        <w:trPr>
          <w:trHeight w:val="690" w:hRule="atLeast"/>
          <w:jc w:val="center"/>
        </w:trPr>
        <w:tc>
          <w:tcPr>
            <w:tcW w:w="69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ascii="仿宋_GB2312" w:hAnsi="宋体"/>
                <w:color w:val="000000"/>
                <w:sz w:val="28"/>
              </w:rPr>
            </w:pPr>
            <w:r>
              <w:rPr>
                <w:rFonts w:ascii="仿宋_GB2312" w:hAnsi="宋体"/>
                <w:color w:val="000000"/>
                <w:sz w:val="28"/>
              </w:rPr>
              <w:t>合计</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Ansi="宋体"/>
                <w:color w:val="000000"/>
                <w:sz w:val="28"/>
              </w:rPr>
            </w:pPr>
            <w:r>
              <w:rPr>
                <w:rFonts w:hAnsi="宋体"/>
                <w:color w:val="000000"/>
                <w:sz w:val="28"/>
              </w:rPr>
              <w:t>670</w:t>
            </w:r>
          </w:p>
        </w:tc>
      </w:tr>
    </w:tbl>
    <w:p>
      <w:pPr>
        <w:rPr>
          <w:rFonts w:hint="eastAsia" w:eastAsia="仿宋_GB2312"/>
          <w:b/>
          <w:bCs/>
        </w:rPr>
      </w:pPr>
      <w:r>
        <w:rPr>
          <w:rFonts w:hint="eastAsia" w:eastAsia="仿宋_GB2312"/>
          <w:b/>
          <w:bCs/>
        </w:rPr>
        <w:t>表5</w:t>
      </w:r>
    </w:p>
    <w:p>
      <w:pPr>
        <w:pStyle w:val="2"/>
        <w:keepNext w:val="0"/>
        <w:keepLines w:val="0"/>
        <w:pageBreakBefore w:val="0"/>
        <w:widowControl w:val="0"/>
        <w:kinsoku/>
        <w:wordWrap/>
        <w:overflowPunct/>
        <w:topLinePunct w:val="0"/>
        <w:autoSpaceDE/>
        <w:autoSpaceDN/>
        <w:bidi w:val="0"/>
        <w:adjustRightInd/>
        <w:snapToGrid w:val="0"/>
        <w:spacing w:line="12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2021年高技能人才培养目标任务市本级分解表</w:t>
      </w:r>
    </w:p>
    <w:p>
      <w:pPr>
        <w:jc w:val="center"/>
        <w:rPr>
          <w:rFonts w:hint="eastAsia" w:ascii="楷体_GB2312" w:hAnsi="楷体_GB2312" w:eastAsia="楷体_GB2312" w:cs="楷体_GB2312"/>
          <w:b w:val="0"/>
          <w:bCs w:val="0"/>
        </w:rPr>
      </w:pPr>
      <w:r>
        <w:rPr>
          <w:rFonts w:hint="eastAsia" w:ascii="楷体_GB2312" w:hAnsi="楷体_GB2312" w:eastAsia="楷体_GB2312" w:cs="楷体_GB2312"/>
          <w:b w:val="0"/>
          <w:bCs w:val="0"/>
        </w:rPr>
        <w:t>（公共实训基地、示范基地及其他）</w:t>
      </w:r>
    </w:p>
    <w:p>
      <w:pPr>
        <w:pStyle w:val="2"/>
        <w:keepNext w:val="0"/>
        <w:keepLines w:val="0"/>
        <w:pageBreakBefore w:val="0"/>
        <w:widowControl w:val="0"/>
        <w:kinsoku/>
        <w:wordWrap/>
        <w:overflowPunct/>
        <w:topLinePunct w:val="0"/>
        <w:autoSpaceDE/>
        <w:autoSpaceDN/>
        <w:bidi w:val="0"/>
        <w:adjustRightInd/>
        <w:snapToGrid w:val="0"/>
        <w:spacing w:line="120" w:lineRule="auto"/>
        <w:ind w:left="0" w:leftChars="0" w:right="0" w:rightChars="0" w:firstLine="0" w:firstLineChars="0"/>
        <w:jc w:val="both"/>
        <w:textAlignment w:val="auto"/>
        <w:outlineLvl w:val="9"/>
        <w:rPr>
          <w:rFonts w:hint="eastAsia"/>
        </w:rPr>
      </w:pPr>
    </w:p>
    <w:tbl>
      <w:tblPr>
        <w:tblStyle w:val="9"/>
        <w:tblW w:w="9643" w:type="dxa"/>
        <w:jc w:val="center"/>
        <w:tblLayout w:type="fixed"/>
        <w:tblCellMar>
          <w:top w:w="0" w:type="dxa"/>
          <w:left w:w="15" w:type="dxa"/>
          <w:bottom w:w="0" w:type="dxa"/>
          <w:right w:w="15" w:type="dxa"/>
        </w:tblCellMar>
      </w:tblPr>
      <w:tblGrid>
        <w:gridCol w:w="870"/>
        <w:gridCol w:w="6358"/>
        <w:gridCol w:w="2415"/>
      </w:tblGrid>
      <w:tr>
        <w:tblPrEx>
          <w:tblCellMar>
            <w:top w:w="0" w:type="dxa"/>
            <w:left w:w="15" w:type="dxa"/>
            <w:bottom w:w="0" w:type="dxa"/>
            <w:right w:w="15" w:type="dxa"/>
          </w:tblCellMar>
        </w:tblPrEx>
        <w:trPr>
          <w:trHeight w:val="68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4"/>
              </w:rPr>
            </w:pPr>
            <w:r>
              <w:rPr>
                <w:rFonts w:hint="eastAsia" w:ascii="黑体" w:hAnsi="黑体" w:eastAsia="黑体" w:cs="黑体"/>
                <w:b w:val="0"/>
                <w:bCs/>
                <w:color w:val="000000"/>
                <w:sz w:val="24"/>
              </w:rPr>
              <w:t>序号</w:t>
            </w:r>
          </w:p>
        </w:tc>
        <w:tc>
          <w:tcPr>
            <w:tcW w:w="6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4"/>
              </w:rPr>
            </w:pPr>
            <w:r>
              <w:rPr>
                <w:rFonts w:hint="eastAsia" w:ascii="黑体" w:hAnsi="黑体" w:eastAsia="黑体" w:cs="黑体"/>
                <w:b w:val="0"/>
                <w:bCs/>
                <w:color w:val="000000"/>
                <w:sz w:val="24"/>
              </w:rPr>
              <w:t>单位</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val="0"/>
                <w:bCs/>
                <w:color w:val="000000"/>
                <w:sz w:val="24"/>
              </w:rPr>
            </w:pPr>
            <w:r>
              <w:rPr>
                <w:rFonts w:hint="eastAsia" w:ascii="黑体" w:hAnsi="黑体" w:eastAsia="黑体" w:cs="黑体"/>
                <w:b w:val="0"/>
                <w:bCs/>
                <w:color w:val="000000"/>
                <w:sz w:val="24"/>
              </w:rPr>
              <w:t>新增培养高</w:t>
            </w:r>
            <w:r>
              <w:rPr>
                <w:rFonts w:hint="eastAsia" w:ascii="黑体" w:hAnsi="黑体" w:eastAsia="黑体" w:cs="黑体"/>
                <w:b w:val="0"/>
                <w:bCs/>
                <w:color w:val="000000"/>
                <w:sz w:val="24"/>
              </w:rPr>
              <w:br w:type="textWrapping"/>
            </w:r>
            <w:r>
              <w:rPr>
                <w:rFonts w:hint="eastAsia" w:ascii="黑体" w:hAnsi="黑体" w:eastAsia="黑体" w:cs="黑体"/>
                <w:b w:val="0"/>
                <w:bCs/>
                <w:color w:val="000000"/>
                <w:sz w:val="24"/>
              </w:rPr>
              <w:t>技能人才（人）</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郑州工程技术学院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900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2</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郑州轨道交通公司</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300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3</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郑州交通技师学院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300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4</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航空物流公共实训中心</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400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5</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郑州商业技师学院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500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6</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郑州旅游职业学院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200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7</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郑州电力职业技术学院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200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8</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郑州工业技师学院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400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9</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郑州财经技师学院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400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10</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郑州电缆技工学校</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200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11</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郑州技师学院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300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12</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河南云和数据信息技术有限公司</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630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13</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登封中等专业学校</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14</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郑州铁路技师学院</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300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15</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郑州职业教育和评价协会</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1000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16</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中国陶瓷行业特有工种职业技能鉴定站河南分站</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1000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17</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河南古川河消防安全职业培训学校</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500</w:t>
            </w:r>
          </w:p>
        </w:tc>
      </w:tr>
      <w:tr>
        <w:tblPrEx>
          <w:tblCellMar>
            <w:top w:w="0" w:type="dxa"/>
            <w:left w:w="15" w:type="dxa"/>
            <w:bottom w:w="0" w:type="dxa"/>
            <w:right w:w="15"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18</w:t>
            </w:r>
          </w:p>
        </w:tc>
        <w:tc>
          <w:tcPr>
            <w:tcW w:w="6358"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宋体"/>
                <w:color w:val="000000"/>
                <w:sz w:val="28"/>
              </w:rPr>
            </w:pPr>
            <w:r>
              <w:rPr>
                <w:rFonts w:ascii="仿宋_GB2312" w:hAnsi="宋体"/>
                <w:color w:val="000000"/>
                <w:sz w:val="28"/>
              </w:rPr>
              <w:t>河南省珠宝玉石首饰行业协会</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hAnsi="宋体"/>
                <w:color w:val="000000"/>
                <w:sz w:val="28"/>
              </w:rPr>
            </w:pPr>
            <w:r>
              <w:rPr>
                <w:rFonts w:hAnsi="宋体"/>
                <w:color w:val="000000"/>
                <w:sz w:val="28"/>
              </w:rPr>
              <w:t>100</w:t>
            </w:r>
          </w:p>
        </w:tc>
      </w:tr>
      <w:tr>
        <w:tblPrEx>
          <w:tblCellMar>
            <w:top w:w="0" w:type="dxa"/>
            <w:left w:w="15" w:type="dxa"/>
            <w:bottom w:w="0" w:type="dxa"/>
            <w:right w:w="15" w:type="dxa"/>
          </w:tblCellMar>
        </w:tblPrEx>
        <w:trPr>
          <w:trHeight w:val="454" w:hRule="exact"/>
          <w:jc w:val="center"/>
        </w:trPr>
        <w:tc>
          <w:tcPr>
            <w:tcW w:w="722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8"/>
              </w:rPr>
            </w:pPr>
            <w:r>
              <w:rPr>
                <w:rFonts w:ascii="仿宋_GB2312" w:hAnsi="宋体"/>
                <w:color w:val="000000"/>
                <w:sz w:val="28"/>
              </w:rPr>
              <w:t>合计</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olor w:val="000000"/>
                <w:sz w:val="28"/>
              </w:rPr>
            </w:pPr>
            <w:r>
              <w:rPr>
                <w:rFonts w:hAnsi="宋体"/>
                <w:color w:val="000000"/>
                <w:sz w:val="28"/>
              </w:rPr>
              <w:t>7730</w:t>
            </w:r>
          </w:p>
        </w:tc>
      </w:tr>
    </w:tbl>
    <w:p>
      <w:pPr>
        <w:pStyle w:val="2"/>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pBdr>
          <w:top w:val="single" w:color="auto" w:sz="6" w:space="1"/>
          <w:bottom w:val="single" w:color="auto" w:sz="6" w:space="1"/>
        </w:pBdr>
        <w:wordWrap w:val="0"/>
        <w:jc w:val="right"/>
        <w:rPr>
          <w:rFonts w:hint="default" w:ascii="Times New Roman" w:hAnsi="Times New Roman" w:eastAsia="仿宋_GB2312" w:cs="Times New Roman"/>
          <w:color w:val="auto"/>
          <w:lang w:val="en-US" w:eastAsia="zh-CN"/>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3063875</wp:posOffset>
                </wp:positionH>
                <wp:positionV relativeFrom="paragraph">
                  <wp:posOffset>849630</wp:posOffset>
                </wp:positionV>
                <wp:extent cx="1283970" cy="443865"/>
                <wp:effectExtent l="0" t="0" r="11430" b="13335"/>
                <wp:wrapNone/>
                <wp:docPr id="1" name="文本框 3"/>
                <wp:cNvGraphicFramePr/>
                <a:graphic xmlns:a="http://schemas.openxmlformats.org/drawingml/2006/main">
                  <a:graphicData uri="http://schemas.microsoft.com/office/word/2010/wordprocessingShape">
                    <wps:wsp>
                      <wps:cNvSpPr txBox="1"/>
                      <wps:spPr>
                        <a:xfrm>
                          <a:off x="0" y="0"/>
                          <a:ext cx="1283970" cy="443865"/>
                        </a:xfrm>
                        <a:prstGeom prst="rect">
                          <a:avLst/>
                        </a:prstGeom>
                        <a:solidFill>
                          <a:srgbClr val="FFFFFF"/>
                        </a:solidFill>
                        <a:ln w="15875">
                          <a:noFill/>
                        </a:ln>
                      </wps:spPr>
                      <wps:txbx>
                        <w:txbxContent>
                          <w:p/>
                        </w:txbxContent>
                      </wps:txbx>
                      <wps:bodyPr upright="1"/>
                    </wps:wsp>
                  </a:graphicData>
                </a:graphic>
              </wp:anchor>
            </w:drawing>
          </mc:Choice>
          <mc:Fallback>
            <w:pict>
              <v:shape id="文本框 3" o:spid="_x0000_s1026" o:spt="202" type="#_x0000_t202" style="position:absolute;left:0pt;margin-left:241.25pt;margin-top:66.9pt;height:34.95pt;width:101.1pt;z-index:251659264;mso-width-relative:page;mso-height-relative:page;" fillcolor="#FFFFFF" filled="t" stroked="f" coordsize="21600,21600" o:gfxdata="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DeLuTZAAAACwEAAA8AAAAAAAAAAQAgAAAAIgAAAGRycy9k&#10;b3ducmV2LnhtbFBLAQIUABQAAAAIAIdO4kCdMMS2yAEAAIEDAAAOAAAAAAAAAAEAIAAAACgBAABk&#10;cnMvZTJvRG9jLnhtbFBLBQYAAAAABgAGAFkBAABiBQAAAAA=&#10;">
                <v:fill on="t" focussize="0,0"/>
                <v:stroke on="f" weight="1.25pt"/>
                <v:imagedata o:title=""/>
                <o:lock v:ext="edit" aspectratio="f"/>
                <v:textbox>
                  <w:txbxContent>
                    <w:p/>
                  </w:txbxContent>
                </v:textbox>
              </v:shape>
            </w:pict>
          </mc:Fallback>
        </mc:AlternateContent>
      </w:r>
      <w:r>
        <w:rPr>
          <w:rFonts w:hint="default" w:ascii="Times New Roman" w:hAnsi="Times New Roman" w:cs="Times New Roman"/>
          <w:color w:val="auto"/>
          <w:sz w:val="28"/>
          <w:szCs w:val="28"/>
        </w:rPr>
        <w:t xml:space="preserve">  郑州市全民技能振兴工程领导小组办公室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20</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22</w:t>
      </w:r>
      <w:r>
        <w:rPr>
          <w:rFonts w:hint="default" w:ascii="Times New Roman" w:hAnsi="Times New Roman" w:cs="Times New Roman"/>
          <w:color w:val="auto"/>
          <w:sz w:val="28"/>
          <w:szCs w:val="28"/>
        </w:rPr>
        <w:t>日印发</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p>
    <w:sectPr>
      <w:headerReference r:id="rId3" w:type="default"/>
      <w:footerReference r:id="rId4" w:type="default"/>
      <w:pgSz w:w="11906" w:h="16838"/>
      <w:pgMar w:top="2098" w:right="1474" w:bottom="1984" w:left="1588" w:header="851" w:footer="1587" w:gutter="0"/>
      <w:cols w:space="0"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2"/>
        <w:rFonts w:ascii="宋体" w:hAnsi="宋体" w:eastAsia="宋体"/>
        <w:sz w:val="28"/>
        <w:szCs w:val="28"/>
      </w:rPr>
    </w:pPr>
    <w:r>
      <w:rPr>
        <w:rStyle w:val="12"/>
        <w:rFonts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w:t>
    </w:r>
    <w:r>
      <w:rPr>
        <w:rStyle w:val="12"/>
        <w:rFonts w:ascii="宋体" w:hAnsi="宋体" w:eastAsia="宋体"/>
        <w:sz w:val="28"/>
        <w:szCs w:val="28"/>
      </w:rPr>
      <w:fldChar w:fldCharType="end"/>
    </w:r>
    <w:r>
      <w:rPr>
        <w:rStyle w:val="12"/>
        <w:rFonts w:ascii="宋体" w:hAnsi="宋体" w:eastAsia="宋体"/>
        <w:sz w:val="28"/>
        <w:szCs w:val="28"/>
      </w:rPr>
      <w:t xml:space="preserve"> —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F1958"/>
    <w:multiLevelType w:val="singleLevel"/>
    <w:tmpl w:val="604F1958"/>
    <w:lvl w:ilvl="0" w:tentative="0">
      <w:start w:val="2"/>
      <w:numFmt w:val="chineseCounting"/>
      <w:suff w:val="nothing"/>
      <w:lvlText w:val="（%1）"/>
      <w:lvlJc w:val="left"/>
    </w:lvl>
  </w:abstractNum>
  <w:abstractNum w:abstractNumId="1">
    <w:nsid w:val="6050198C"/>
    <w:multiLevelType w:val="singleLevel"/>
    <w:tmpl w:val="6050198C"/>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8E"/>
    <w:rsid w:val="00003D08"/>
    <w:rsid w:val="000059ED"/>
    <w:rsid w:val="00007B6D"/>
    <w:rsid w:val="00024A94"/>
    <w:rsid w:val="00032D17"/>
    <w:rsid w:val="00050619"/>
    <w:rsid w:val="000556CF"/>
    <w:rsid w:val="000563B1"/>
    <w:rsid w:val="00067D65"/>
    <w:rsid w:val="00093500"/>
    <w:rsid w:val="000A6305"/>
    <w:rsid w:val="000A7E60"/>
    <w:rsid w:val="000B2C62"/>
    <w:rsid w:val="000C48A4"/>
    <w:rsid w:val="000C4CFB"/>
    <w:rsid w:val="000D47A4"/>
    <w:rsid w:val="000E07BB"/>
    <w:rsid w:val="000E5EC4"/>
    <w:rsid w:val="000E6176"/>
    <w:rsid w:val="000F6039"/>
    <w:rsid w:val="00110A04"/>
    <w:rsid w:val="0012366F"/>
    <w:rsid w:val="00123696"/>
    <w:rsid w:val="0013128C"/>
    <w:rsid w:val="00144592"/>
    <w:rsid w:val="00147B60"/>
    <w:rsid w:val="00151C8E"/>
    <w:rsid w:val="00155B54"/>
    <w:rsid w:val="00156CCF"/>
    <w:rsid w:val="00157424"/>
    <w:rsid w:val="0016149A"/>
    <w:rsid w:val="001768C0"/>
    <w:rsid w:val="001846F8"/>
    <w:rsid w:val="00186E28"/>
    <w:rsid w:val="00187D84"/>
    <w:rsid w:val="00192096"/>
    <w:rsid w:val="00193001"/>
    <w:rsid w:val="001933B7"/>
    <w:rsid w:val="00193606"/>
    <w:rsid w:val="00196174"/>
    <w:rsid w:val="001969AF"/>
    <w:rsid w:val="001A1E17"/>
    <w:rsid w:val="001B1B19"/>
    <w:rsid w:val="001B3CDA"/>
    <w:rsid w:val="001B6B27"/>
    <w:rsid w:val="001C3E3D"/>
    <w:rsid w:val="001D2865"/>
    <w:rsid w:val="001D6C60"/>
    <w:rsid w:val="001F26EB"/>
    <w:rsid w:val="00200090"/>
    <w:rsid w:val="00200B9E"/>
    <w:rsid w:val="0022087B"/>
    <w:rsid w:val="002302AC"/>
    <w:rsid w:val="002361BD"/>
    <w:rsid w:val="00236D8F"/>
    <w:rsid w:val="00237713"/>
    <w:rsid w:val="00241D80"/>
    <w:rsid w:val="002603CF"/>
    <w:rsid w:val="00261CBE"/>
    <w:rsid w:val="002665F4"/>
    <w:rsid w:val="00272AE6"/>
    <w:rsid w:val="002742A2"/>
    <w:rsid w:val="002852C9"/>
    <w:rsid w:val="00286856"/>
    <w:rsid w:val="0029492A"/>
    <w:rsid w:val="002A76B4"/>
    <w:rsid w:val="002B4731"/>
    <w:rsid w:val="002C34D0"/>
    <w:rsid w:val="002C7F21"/>
    <w:rsid w:val="002D2B8A"/>
    <w:rsid w:val="002E0BF7"/>
    <w:rsid w:val="002E7F42"/>
    <w:rsid w:val="002F5128"/>
    <w:rsid w:val="0031210F"/>
    <w:rsid w:val="00314789"/>
    <w:rsid w:val="00324331"/>
    <w:rsid w:val="0032504E"/>
    <w:rsid w:val="003307D2"/>
    <w:rsid w:val="00344BBF"/>
    <w:rsid w:val="0035435F"/>
    <w:rsid w:val="00375BB6"/>
    <w:rsid w:val="00381F4A"/>
    <w:rsid w:val="00393DAA"/>
    <w:rsid w:val="00393DB5"/>
    <w:rsid w:val="00396857"/>
    <w:rsid w:val="003C165E"/>
    <w:rsid w:val="003C4368"/>
    <w:rsid w:val="003C75FB"/>
    <w:rsid w:val="003E38AF"/>
    <w:rsid w:val="003E4ABD"/>
    <w:rsid w:val="003E6D12"/>
    <w:rsid w:val="003F1E5C"/>
    <w:rsid w:val="003F6210"/>
    <w:rsid w:val="003F63D5"/>
    <w:rsid w:val="0040761F"/>
    <w:rsid w:val="0042705E"/>
    <w:rsid w:val="00432885"/>
    <w:rsid w:val="004431E9"/>
    <w:rsid w:val="00445FF9"/>
    <w:rsid w:val="004713C7"/>
    <w:rsid w:val="004770DB"/>
    <w:rsid w:val="00484598"/>
    <w:rsid w:val="0048705E"/>
    <w:rsid w:val="00497F17"/>
    <w:rsid w:val="004A555A"/>
    <w:rsid w:val="004D63E2"/>
    <w:rsid w:val="004E4A98"/>
    <w:rsid w:val="004F5206"/>
    <w:rsid w:val="005034B1"/>
    <w:rsid w:val="005076F6"/>
    <w:rsid w:val="00510D72"/>
    <w:rsid w:val="005157FA"/>
    <w:rsid w:val="005168CB"/>
    <w:rsid w:val="00517C75"/>
    <w:rsid w:val="00535B0D"/>
    <w:rsid w:val="00537A0F"/>
    <w:rsid w:val="005842BD"/>
    <w:rsid w:val="00586166"/>
    <w:rsid w:val="005B7189"/>
    <w:rsid w:val="005D705E"/>
    <w:rsid w:val="005D783B"/>
    <w:rsid w:val="005E0838"/>
    <w:rsid w:val="005E5E8E"/>
    <w:rsid w:val="005E7214"/>
    <w:rsid w:val="006017B3"/>
    <w:rsid w:val="00605934"/>
    <w:rsid w:val="00612F2B"/>
    <w:rsid w:val="0061540F"/>
    <w:rsid w:val="00617371"/>
    <w:rsid w:val="00620F47"/>
    <w:rsid w:val="00637067"/>
    <w:rsid w:val="00652C0C"/>
    <w:rsid w:val="0067083E"/>
    <w:rsid w:val="0067368C"/>
    <w:rsid w:val="0067572D"/>
    <w:rsid w:val="006A248F"/>
    <w:rsid w:val="006C3300"/>
    <w:rsid w:val="006C5C9E"/>
    <w:rsid w:val="006D34BA"/>
    <w:rsid w:val="006E67B5"/>
    <w:rsid w:val="00703303"/>
    <w:rsid w:val="0070655F"/>
    <w:rsid w:val="0073204C"/>
    <w:rsid w:val="00735890"/>
    <w:rsid w:val="00737B8E"/>
    <w:rsid w:val="007536E9"/>
    <w:rsid w:val="00756129"/>
    <w:rsid w:val="007646ED"/>
    <w:rsid w:val="00775FE7"/>
    <w:rsid w:val="0079213D"/>
    <w:rsid w:val="00793218"/>
    <w:rsid w:val="00797C80"/>
    <w:rsid w:val="007A3EA7"/>
    <w:rsid w:val="007B2E32"/>
    <w:rsid w:val="007C0970"/>
    <w:rsid w:val="007C3E0B"/>
    <w:rsid w:val="007C6E11"/>
    <w:rsid w:val="007D4163"/>
    <w:rsid w:val="007E5A1A"/>
    <w:rsid w:val="007F547C"/>
    <w:rsid w:val="007F63FB"/>
    <w:rsid w:val="0081231E"/>
    <w:rsid w:val="00817286"/>
    <w:rsid w:val="00835842"/>
    <w:rsid w:val="00842D61"/>
    <w:rsid w:val="008447DF"/>
    <w:rsid w:val="00846F93"/>
    <w:rsid w:val="00857996"/>
    <w:rsid w:val="008579E7"/>
    <w:rsid w:val="00857D02"/>
    <w:rsid w:val="0086329A"/>
    <w:rsid w:val="008653DB"/>
    <w:rsid w:val="00871371"/>
    <w:rsid w:val="008723DD"/>
    <w:rsid w:val="008723F7"/>
    <w:rsid w:val="00873EC5"/>
    <w:rsid w:val="00873F3D"/>
    <w:rsid w:val="0087666E"/>
    <w:rsid w:val="00880AF5"/>
    <w:rsid w:val="008968F1"/>
    <w:rsid w:val="008A1CED"/>
    <w:rsid w:val="008A2266"/>
    <w:rsid w:val="008A38AD"/>
    <w:rsid w:val="008B654E"/>
    <w:rsid w:val="008B7099"/>
    <w:rsid w:val="008D7802"/>
    <w:rsid w:val="008E0B8B"/>
    <w:rsid w:val="008E233B"/>
    <w:rsid w:val="008F1F0E"/>
    <w:rsid w:val="0090095F"/>
    <w:rsid w:val="009038CD"/>
    <w:rsid w:val="00904C2E"/>
    <w:rsid w:val="009051DA"/>
    <w:rsid w:val="00910C52"/>
    <w:rsid w:val="00915AFD"/>
    <w:rsid w:val="00926483"/>
    <w:rsid w:val="00935D1D"/>
    <w:rsid w:val="00945282"/>
    <w:rsid w:val="009529C1"/>
    <w:rsid w:val="00964E45"/>
    <w:rsid w:val="00966709"/>
    <w:rsid w:val="00975866"/>
    <w:rsid w:val="009806F2"/>
    <w:rsid w:val="00983596"/>
    <w:rsid w:val="00986FA9"/>
    <w:rsid w:val="009972E0"/>
    <w:rsid w:val="009A1F30"/>
    <w:rsid w:val="009A36B6"/>
    <w:rsid w:val="009B35D2"/>
    <w:rsid w:val="009B422B"/>
    <w:rsid w:val="009E01A3"/>
    <w:rsid w:val="009E4570"/>
    <w:rsid w:val="009F5F0A"/>
    <w:rsid w:val="00A06F74"/>
    <w:rsid w:val="00A10EF6"/>
    <w:rsid w:val="00A137D4"/>
    <w:rsid w:val="00A461E7"/>
    <w:rsid w:val="00A875A6"/>
    <w:rsid w:val="00A9322E"/>
    <w:rsid w:val="00AA1310"/>
    <w:rsid w:val="00AA1A6D"/>
    <w:rsid w:val="00AA5226"/>
    <w:rsid w:val="00AA7D23"/>
    <w:rsid w:val="00AB0EF5"/>
    <w:rsid w:val="00AD43AB"/>
    <w:rsid w:val="00AE61C2"/>
    <w:rsid w:val="00AF0489"/>
    <w:rsid w:val="00AF373E"/>
    <w:rsid w:val="00AF6C4B"/>
    <w:rsid w:val="00AF7647"/>
    <w:rsid w:val="00B02998"/>
    <w:rsid w:val="00B0416F"/>
    <w:rsid w:val="00B043A4"/>
    <w:rsid w:val="00B06E77"/>
    <w:rsid w:val="00B238D5"/>
    <w:rsid w:val="00B25B78"/>
    <w:rsid w:val="00B30448"/>
    <w:rsid w:val="00B45BFF"/>
    <w:rsid w:val="00B56D4A"/>
    <w:rsid w:val="00B57203"/>
    <w:rsid w:val="00B57B2C"/>
    <w:rsid w:val="00B8214C"/>
    <w:rsid w:val="00B84E75"/>
    <w:rsid w:val="00BA63BC"/>
    <w:rsid w:val="00BB2F86"/>
    <w:rsid w:val="00BC052F"/>
    <w:rsid w:val="00BC1612"/>
    <w:rsid w:val="00BD0060"/>
    <w:rsid w:val="00BE0576"/>
    <w:rsid w:val="00BF2BED"/>
    <w:rsid w:val="00BF7575"/>
    <w:rsid w:val="00C068A8"/>
    <w:rsid w:val="00C14F90"/>
    <w:rsid w:val="00C207E5"/>
    <w:rsid w:val="00C253E2"/>
    <w:rsid w:val="00C52B15"/>
    <w:rsid w:val="00C5501F"/>
    <w:rsid w:val="00C56DEC"/>
    <w:rsid w:val="00C57E09"/>
    <w:rsid w:val="00C64A58"/>
    <w:rsid w:val="00C75538"/>
    <w:rsid w:val="00C75AF0"/>
    <w:rsid w:val="00C846A9"/>
    <w:rsid w:val="00C86FAE"/>
    <w:rsid w:val="00C87CBA"/>
    <w:rsid w:val="00C95DB0"/>
    <w:rsid w:val="00CB4BCE"/>
    <w:rsid w:val="00CB557A"/>
    <w:rsid w:val="00CD4949"/>
    <w:rsid w:val="00CD68DB"/>
    <w:rsid w:val="00CD7AF8"/>
    <w:rsid w:val="00CF3EA4"/>
    <w:rsid w:val="00CF52E3"/>
    <w:rsid w:val="00CF5C4C"/>
    <w:rsid w:val="00D114FF"/>
    <w:rsid w:val="00D11CFB"/>
    <w:rsid w:val="00D1451A"/>
    <w:rsid w:val="00D20942"/>
    <w:rsid w:val="00D23FAC"/>
    <w:rsid w:val="00D25A12"/>
    <w:rsid w:val="00D303E1"/>
    <w:rsid w:val="00D41182"/>
    <w:rsid w:val="00D45909"/>
    <w:rsid w:val="00D501A2"/>
    <w:rsid w:val="00D50A5A"/>
    <w:rsid w:val="00D55F89"/>
    <w:rsid w:val="00D603BE"/>
    <w:rsid w:val="00D7030B"/>
    <w:rsid w:val="00D83103"/>
    <w:rsid w:val="00D85C56"/>
    <w:rsid w:val="00D870D8"/>
    <w:rsid w:val="00D902B6"/>
    <w:rsid w:val="00D9197A"/>
    <w:rsid w:val="00D953A9"/>
    <w:rsid w:val="00DB3972"/>
    <w:rsid w:val="00DC752A"/>
    <w:rsid w:val="00DD6733"/>
    <w:rsid w:val="00DE7143"/>
    <w:rsid w:val="00E11F28"/>
    <w:rsid w:val="00E37A89"/>
    <w:rsid w:val="00E53372"/>
    <w:rsid w:val="00E55ABD"/>
    <w:rsid w:val="00E561C2"/>
    <w:rsid w:val="00E56537"/>
    <w:rsid w:val="00E565E8"/>
    <w:rsid w:val="00E5662D"/>
    <w:rsid w:val="00E56B2C"/>
    <w:rsid w:val="00E60435"/>
    <w:rsid w:val="00E67E16"/>
    <w:rsid w:val="00E8211C"/>
    <w:rsid w:val="00E9549A"/>
    <w:rsid w:val="00EA1801"/>
    <w:rsid w:val="00EB1AB7"/>
    <w:rsid w:val="00EB63CB"/>
    <w:rsid w:val="00EC7C2C"/>
    <w:rsid w:val="00EE19F8"/>
    <w:rsid w:val="00EE2D16"/>
    <w:rsid w:val="00EF4107"/>
    <w:rsid w:val="00F024F8"/>
    <w:rsid w:val="00F273CD"/>
    <w:rsid w:val="00F3690E"/>
    <w:rsid w:val="00F373D8"/>
    <w:rsid w:val="00F47675"/>
    <w:rsid w:val="00F70B2C"/>
    <w:rsid w:val="00F730A4"/>
    <w:rsid w:val="00F751F2"/>
    <w:rsid w:val="00F76A90"/>
    <w:rsid w:val="00F84C6D"/>
    <w:rsid w:val="00F87A4F"/>
    <w:rsid w:val="00F9671F"/>
    <w:rsid w:val="00FA524A"/>
    <w:rsid w:val="00FB0E33"/>
    <w:rsid w:val="00FB6C23"/>
    <w:rsid w:val="00FB72D6"/>
    <w:rsid w:val="00FC3E26"/>
    <w:rsid w:val="00FD3CC3"/>
    <w:rsid w:val="00FD711A"/>
    <w:rsid w:val="01277251"/>
    <w:rsid w:val="01B97697"/>
    <w:rsid w:val="03076EA3"/>
    <w:rsid w:val="03373752"/>
    <w:rsid w:val="049D0190"/>
    <w:rsid w:val="093A360F"/>
    <w:rsid w:val="0A8E2781"/>
    <w:rsid w:val="0BB13049"/>
    <w:rsid w:val="0C841F57"/>
    <w:rsid w:val="100B3543"/>
    <w:rsid w:val="11DC6053"/>
    <w:rsid w:val="12F201C7"/>
    <w:rsid w:val="13056380"/>
    <w:rsid w:val="14991EED"/>
    <w:rsid w:val="167370C6"/>
    <w:rsid w:val="17A906CC"/>
    <w:rsid w:val="19750622"/>
    <w:rsid w:val="1B877581"/>
    <w:rsid w:val="231059E8"/>
    <w:rsid w:val="23B7583D"/>
    <w:rsid w:val="255A581F"/>
    <w:rsid w:val="27417792"/>
    <w:rsid w:val="277838B5"/>
    <w:rsid w:val="281040B7"/>
    <w:rsid w:val="2C263990"/>
    <w:rsid w:val="2D4F7CCB"/>
    <w:rsid w:val="2E4F1D5E"/>
    <w:rsid w:val="2F694133"/>
    <w:rsid w:val="2F8129D6"/>
    <w:rsid w:val="2FDE24F2"/>
    <w:rsid w:val="37686CC2"/>
    <w:rsid w:val="38AF3A03"/>
    <w:rsid w:val="3C182A32"/>
    <w:rsid w:val="3E106880"/>
    <w:rsid w:val="3F2D5841"/>
    <w:rsid w:val="3FD41A7D"/>
    <w:rsid w:val="41DB617C"/>
    <w:rsid w:val="43A178C3"/>
    <w:rsid w:val="44C03630"/>
    <w:rsid w:val="46725E48"/>
    <w:rsid w:val="48920801"/>
    <w:rsid w:val="49491F7A"/>
    <w:rsid w:val="4976406D"/>
    <w:rsid w:val="49C43C25"/>
    <w:rsid w:val="4A2C5962"/>
    <w:rsid w:val="4C714ADC"/>
    <w:rsid w:val="4FE345EF"/>
    <w:rsid w:val="5246428F"/>
    <w:rsid w:val="524E544F"/>
    <w:rsid w:val="54266771"/>
    <w:rsid w:val="554674AC"/>
    <w:rsid w:val="58C01782"/>
    <w:rsid w:val="5D71336F"/>
    <w:rsid w:val="5F53658C"/>
    <w:rsid w:val="64BE0F8B"/>
    <w:rsid w:val="658A37E5"/>
    <w:rsid w:val="66DF4EBB"/>
    <w:rsid w:val="6703288B"/>
    <w:rsid w:val="67EA3BF8"/>
    <w:rsid w:val="6A466B4F"/>
    <w:rsid w:val="6AF154FF"/>
    <w:rsid w:val="6B720F8C"/>
    <w:rsid w:val="6BAD4A5E"/>
    <w:rsid w:val="6BC813BB"/>
    <w:rsid w:val="6C04596F"/>
    <w:rsid w:val="6C567FCB"/>
    <w:rsid w:val="774E22D3"/>
    <w:rsid w:val="7A4C6D9E"/>
    <w:rsid w:val="7A6D685E"/>
    <w:rsid w:val="7C8847D4"/>
    <w:rsid w:val="7E07284A"/>
    <w:rsid w:val="7EBC29DE"/>
    <w:rsid w:val="7F4D6C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locked/>
    <w:uiPriority w:val="99"/>
    <w:rPr>
      <w:rFonts w:ascii="仿宋" w:hAnsi="Times New Roman" w:eastAsia="仿宋" w:cs="仿宋"/>
      <w:kern w:val="0"/>
      <w:sz w:val="24"/>
      <w:szCs w:val="24"/>
    </w:rPr>
  </w:style>
  <w:style w:type="paragraph" w:styleId="4">
    <w:name w:val="Date"/>
    <w:basedOn w:val="1"/>
    <w:next w:val="1"/>
    <w:link w:val="14"/>
    <w:qFormat/>
    <w:uiPriority w:val="99"/>
    <w:pPr>
      <w:ind w:left="100" w:leftChars="25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unhideWhenUsed/>
    <w:locked/>
    <w:uiPriority w:val="99"/>
    <w:pPr>
      <w:ind w:firstLine="420" w:firstLineChars="100"/>
    </w:pPr>
    <w:rPr>
      <w:rFonts w:ascii="Times New Roman" w:hAnsi="Times New Roman" w:eastAsia="宋体" w:cs="Times New Roman"/>
      <w:sz w:val="21"/>
      <w:szCs w:val="22"/>
      <w:lang w:val="en-US" w:eastAsia="zh-CN" w:bidi="ar-SA"/>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Date Char"/>
    <w:basedOn w:val="11"/>
    <w:link w:val="4"/>
    <w:semiHidden/>
    <w:qFormat/>
    <w:locked/>
    <w:uiPriority w:val="99"/>
    <w:rPr>
      <w:rFonts w:eastAsia="仿宋_GB2312" w:cs="Times New Roman"/>
      <w:sz w:val="24"/>
      <w:szCs w:val="24"/>
    </w:rPr>
  </w:style>
  <w:style w:type="character" w:customStyle="1" w:styleId="15">
    <w:name w:val="Footer Char"/>
    <w:basedOn w:val="11"/>
    <w:link w:val="5"/>
    <w:semiHidden/>
    <w:qFormat/>
    <w:locked/>
    <w:uiPriority w:val="99"/>
    <w:rPr>
      <w:rFonts w:eastAsia="仿宋_GB2312" w:cs="Times New Roman"/>
      <w:sz w:val="18"/>
      <w:szCs w:val="18"/>
    </w:rPr>
  </w:style>
  <w:style w:type="character" w:customStyle="1" w:styleId="16">
    <w:name w:val="Header Char"/>
    <w:basedOn w:val="11"/>
    <w:link w:val="6"/>
    <w:semiHidden/>
    <w:qFormat/>
    <w:locked/>
    <w:uiPriority w:val="99"/>
    <w:rPr>
      <w:rFonts w:eastAsia="仿宋_GB2312" w:cs="Times New Roman"/>
      <w:sz w:val="18"/>
      <w:szCs w:val="18"/>
    </w:rPr>
  </w:style>
  <w:style w:type="character" w:customStyle="1" w:styleId="17">
    <w:name w:val="15"/>
    <w:basedOn w:val="11"/>
    <w:qFormat/>
    <w:uiPriority w:val="99"/>
    <w:rPr>
      <w:rFonts w:ascii="Times New Roman" w:hAnsi="Times New Roman" w:cs="Times New Roman"/>
      <w:color w:val="0000FF"/>
      <w:u w:val="single"/>
    </w:rPr>
  </w:style>
  <w:style w:type="paragraph" w:customStyle="1" w:styleId="18">
    <w:name w:val="List Paragraph"/>
    <w:basedOn w:val="1"/>
    <w:qFormat/>
    <w:uiPriority w:val="99"/>
    <w:pPr>
      <w:ind w:firstLine="420" w:firstLineChars="200"/>
    </w:pPr>
  </w:style>
  <w:style w:type="character" w:customStyle="1" w:styleId="19">
    <w:name w:val="font21"/>
    <w:basedOn w:val="11"/>
    <w:qFormat/>
    <w:uiPriority w:val="0"/>
    <w:rPr>
      <w:rFonts w:hint="eastAsia" w:ascii="黑体" w:hAnsi="宋体" w:eastAsia="黑体" w:cs="黑体"/>
      <w:color w:val="000000"/>
      <w:sz w:val="24"/>
      <w:szCs w:val="24"/>
      <w:u w:val="none"/>
    </w:rPr>
  </w:style>
  <w:style w:type="character" w:customStyle="1" w:styleId="20">
    <w:name w:val="font11"/>
    <w:basedOn w:val="11"/>
    <w:qFormat/>
    <w:uiPriority w:val="0"/>
    <w:rPr>
      <w:rFonts w:hint="eastAsia" w:ascii="黑体" w:hAnsi="宋体" w:eastAsia="黑体" w:cs="黑体"/>
      <w:color w:val="333333"/>
      <w:sz w:val="24"/>
      <w:szCs w:val="24"/>
      <w:u w:val="none"/>
    </w:rPr>
  </w:style>
  <w:style w:type="character" w:customStyle="1" w:styleId="21">
    <w:name w:val="font01"/>
    <w:basedOn w:val="11"/>
    <w:qFormat/>
    <w:uiPriority w:val="0"/>
    <w:rPr>
      <w:rFonts w:hint="eastAsia" w:ascii="宋体" w:hAnsi="宋体" w:eastAsia="宋体" w:cs="宋体"/>
      <w:color w:val="333333"/>
      <w:sz w:val="24"/>
      <w:szCs w:val="24"/>
      <w:u w:val="none"/>
    </w:rPr>
  </w:style>
  <w:style w:type="character" w:customStyle="1" w:styleId="22">
    <w:name w:val="段K"/>
    <w:basedOn w:val="11"/>
    <w:qFormat/>
    <w:uiPriority w:val="0"/>
    <w:rPr>
      <w:rFonts w:ascii="Times New Roman" w:hAnsi="Times New Roman" w:eastAsia="楷体_GB2312"/>
      <w:spacing w:val="6"/>
      <w:w w:val="100"/>
      <w:kern w:val="0"/>
      <w:positio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 China</Company>
  <Pages>6</Pages>
  <Words>268</Words>
  <Characters>1533</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2017-06-19T02:27:00Z</dcterms:created>
  <dc:creator>Sky123.Org</dc:creator>
  <cp:lastModifiedBy>CC</cp:lastModifiedBy>
  <cp:lastPrinted>2021-03-22T06:43:00Z</cp:lastPrinted>
  <dcterms:modified xsi:type="dcterms:W3CDTF">2021-05-06T02:11:16Z</dcterms:modified>
  <dc:title>郑州市全民技能振兴工程</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F933D48AE8214B63A0CD2152E76AF081</vt:lpwstr>
  </property>
</Properties>
</file>