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32"/>
          <w:szCs w:val="32"/>
        </w:rPr>
      </w:pPr>
      <w:r>
        <w:rPr>
          <w:rFonts w:hint="eastAsia" w:ascii="黑体" w:hAnsi="黑体" w:eastAsia="黑体" w:cs="黑体"/>
          <w:sz w:val="32"/>
          <w:szCs w:val="32"/>
        </w:rPr>
        <w:t>附件</w:t>
      </w:r>
      <w:r>
        <w:rPr>
          <w:rFonts w:hint="eastAsia" w:ascii="宋体" w:hAnsi="宋体" w:eastAsia="宋体" w:cs="宋体"/>
          <w:sz w:val="32"/>
          <w:szCs w:val="32"/>
        </w:rPr>
        <w:t>1</w:t>
      </w:r>
    </w:p>
    <w:p>
      <w:pPr>
        <w:keepNext w:val="0"/>
        <w:keepLines w:val="0"/>
        <w:pageBreakBefore w:val="0"/>
        <w:widowControl w:val="0"/>
        <w:kinsoku/>
        <w:wordWrap/>
        <w:overflowPunct/>
        <w:topLinePunct w:val="0"/>
        <w:autoSpaceDE/>
        <w:autoSpaceDN/>
        <w:bidi w:val="0"/>
        <w:adjustRightInd/>
        <w:snapToGrid w:val="0"/>
        <w:spacing w:before="157" w:beforeLines="50" w:beforeAutospacing="0" w:after="313" w:afterLines="100" w:afterAutospacing="0" w:line="240" w:lineRule="auto"/>
        <w:jc w:val="center"/>
        <w:textAlignment w:val="auto"/>
        <w:rPr>
          <w:rFonts w:hint="eastAsia" w:ascii="方正小标宋_GBK" w:hAnsi="方正小标宋_GBK" w:eastAsia="方正小标宋_GBK" w:cs="方正小标宋_GBK"/>
          <w:sz w:val="44"/>
          <w:szCs w:val="44"/>
        </w:rPr>
      </w:pPr>
      <w:bookmarkStart w:id="1" w:name="_GoBack"/>
      <w:r>
        <w:rPr>
          <w:rFonts w:hint="eastAsia" w:ascii="方正小标宋_GBK" w:hAnsi="方正小标宋_GBK" w:eastAsia="方正小标宋_GBK" w:cs="方正小标宋_GBK"/>
          <w:sz w:val="44"/>
          <w:szCs w:val="44"/>
        </w:rPr>
        <w:t>郑州市人力资源和社会保障行政执法“四张清单”</w:t>
      </w:r>
    </w:p>
    <w:bookmarkEnd w:id="1"/>
    <w:tbl>
      <w:tblPr>
        <w:tblStyle w:val="5"/>
        <w:tblW w:w="14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3435"/>
        <w:gridCol w:w="6360"/>
        <w:gridCol w:w="3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blHeader/>
          <w:jc w:val="center"/>
        </w:trPr>
        <w:tc>
          <w:tcPr>
            <w:tcW w:w="14000" w:type="dxa"/>
            <w:gridSpan w:val="4"/>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黑体"/>
                <w:sz w:val="21"/>
                <w:szCs w:val="21"/>
              </w:rPr>
            </w:pPr>
            <w:r>
              <w:rPr>
                <w:rFonts w:hint="eastAsia" w:ascii="方正书宋_GBK" w:hAnsi="方正书宋_GBK" w:eastAsia="黑体" w:cs="黑体"/>
                <w:sz w:val="21"/>
                <w:szCs w:val="21"/>
              </w:rPr>
              <w:t>轻微违法行为免予处罚清单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tblHeader/>
          <w:jc w:val="center"/>
        </w:trPr>
        <w:tc>
          <w:tcPr>
            <w:tcW w:w="751"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黑体"/>
                <w:spacing w:val="-17"/>
                <w:sz w:val="21"/>
                <w:szCs w:val="21"/>
              </w:rPr>
            </w:pPr>
            <w:r>
              <w:rPr>
                <w:rFonts w:hint="eastAsia" w:ascii="方正书宋_GBK" w:hAnsi="方正书宋_GBK" w:eastAsia="黑体" w:cs="黑体"/>
                <w:spacing w:val="-17"/>
                <w:sz w:val="21"/>
                <w:szCs w:val="21"/>
              </w:rPr>
              <w:t>序号</w:t>
            </w:r>
          </w:p>
        </w:tc>
        <w:tc>
          <w:tcPr>
            <w:tcW w:w="3435"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黑体"/>
                <w:sz w:val="21"/>
                <w:szCs w:val="21"/>
              </w:rPr>
            </w:pPr>
            <w:r>
              <w:rPr>
                <w:rFonts w:hint="eastAsia" w:ascii="方正书宋_GBK" w:hAnsi="方正书宋_GBK" w:eastAsia="黑体" w:cs="黑体"/>
                <w:sz w:val="21"/>
                <w:szCs w:val="21"/>
              </w:rPr>
              <w:t>处罚事项名称</w:t>
            </w:r>
          </w:p>
        </w:tc>
        <w:tc>
          <w:tcPr>
            <w:tcW w:w="6360"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黑体"/>
                <w:sz w:val="21"/>
                <w:szCs w:val="21"/>
              </w:rPr>
            </w:pPr>
            <w:r>
              <w:rPr>
                <w:rFonts w:hint="eastAsia" w:ascii="方正书宋_GBK" w:hAnsi="方正书宋_GBK" w:eastAsia="黑体" w:cs="黑体"/>
                <w:sz w:val="21"/>
                <w:szCs w:val="21"/>
              </w:rPr>
              <w:t>设定依据</w:t>
            </w:r>
          </w:p>
        </w:tc>
        <w:tc>
          <w:tcPr>
            <w:tcW w:w="3454"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黑体"/>
                <w:spacing w:val="-17"/>
                <w:sz w:val="21"/>
                <w:szCs w:val="21"/>
              </w:rPr>
            </w:pPr>
            <w:r>
              <w:rPr>
                <w:rFonts w:hint="eastAsia" w:ascii="方正书宋_GBK" w:hAnsi="方正书宋_GBK" w:eastAsia="黑体" w:cs="黑体"/>
                <w:spacing w:val="-17"/>
                <w:sz w:val="21"/>
                <w:szCs w:val="21"/>
              </w:rPr>
              <w:t>免予处罚情形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2" w:hRule="atLeast"/>
          <w:tblHeader/>
          <w:jc w:val="center"/>
        </w:trPr>
        <w:tc>
          <w:tcPr>
            <w:tcW w:w="751"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仿宋" w:cs="仿宋"/>
                <w:sz w:val="21"/>
                <w:szCs w:val="21"/>
              </w:rPr>
            </w:pPr>
            <w:r>
              <w:rPr>
                <w:rFonts w:hint="eastAsia" w:ascii="方正书宋_GBK" w:hAnsi="方正书宋_GBK" w:eastAsia="仿宋" w:cs="仿宋"/>
                <w:sz w:val="21"/>
                <w:szCs w:val="21"/>
              </w:rPr>
              <w:t>1</w:t>
            </w:r>
          </w:p>
        </w:tc>
        <w:tc>
          <w:tcPr>
            <w:tcW w:w="3435"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z w:val="21"/>
                <w:szCs w:val="21"/>
              </w:rPr>
            </w:pPr>
            <w:r>
              <w:rPr>
                <w:rFonts w:hint="eastAsia" w:ascii="方正书宋_GBK" w:hAnsi="方正书宋_GBK" w:eastAsia="仿宋" w:cs="仿宋_GB2312"/>
                <w:sz w:val="21"/>
                <w:szCs w:val="21"/>
              </w:rPr>
              <w:t>对人才中介服务机构擅自扩大许可业务范围、不按规定办理许可证年检、变更等手续的处罚</w:t>
            </w:r>
          </w:p>
        </w:tc>
        <w:tc>
          <w:tcPr>
            <w:tcW w:w="6360"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z w:val="21"/>
                <w:szCs w:val="21"/>
              </w:rPr>
            </w:pPr>
            <w:r>
              <w:rPr>
                <w:rFonts w:hint="eastAsia" w:ascii="方正书宋_GBK" w:hAnsi="方正书宋_GBK" w:eastAsia="仿宋" w:cs="仿宋"/>
                <w:sz w:val="21"/>
                <w:szCs w:val="21"/>
              </w:rPr>
              <w:t>《郑州市人才市场管理办法》（郑州市人民政府令第104号，2020年1月17日修订）</w:t>
            </w:r>
            <w:r>
              <w:rPr>
                <w:rFonts w:hint="eastAsia" w:ascii="方正书宋_GBK" w:hAnsi="方正书宋_GBK" w:eastAsia="仿宋" w:cs="仿宋_GB2312"/>
                <w:sz w:val="21"/>
                <w:szCs w:val="21"/>
              </w:rPr>
              <w:t>第二十六条：违反本办法规定，有下列行为之一的，由市、县（市）、区人事行政部门按照下列规定给予处罚：（二）人才中介服务机构擅自扩大许可业务、不按照规定办理变更等手续的，给予警告，并可处1000元以上5000元以下罚款。</w:t>
            </w:r>
          </w:p>
        </w:tc>
        <w:tc>
          <w:tcPr>
            <w:tcW w:w="3454"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z w:val="21"/>
                <w:szCs w:val="21"/>
              </w:rPr>
            </w:pPr>
            <w:r>
              <w:rPr>
                <w:rFonts w:hint="eastAsia" w:ascii="方正书宋_GBK" w:hAnsi="方正书宋_GBK" w:eastAsia="仿宋" w:cs="仿宋_GB2312"/>
                <w:sz w:val="21"/>
                <w:szCs w:val="21"/>
              </w:rPr>
              <w:t>同时具备以下条件：</w:t>
            </w:r>
          </w:p>
          <w:p>
            <w:pPr>
              <w:pStyle w:val="8"/>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z w:val="21"/>
                <w:szCs w:val="21"/>
              </w:rPr>
            </w:pPr>
            <w:r>
              <w:rPr>
                <w:rFonts w:hint="eastAsia" w:ascii="方正书宋_GBK" w:hAnsi="方正书宋_GBK" w:eastAsia="仿宋" w:cs="仿宋_GB2312"/>
                <w:sz w:val="21"/>
                <w:szCs w:val="21"/>
              </w:rPr>
              <w:t>1.没有违法所得；</w:t>
            </w:r>
          </w:p>
          <w:p>
            <w:pPr>
              <w:pStyle w:val="8"/>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z w:val="21"/>
                <w:szCs w:val="21"/>
              </w:rPr>
            </w:pPr>
            <w:r>
              <w:rPr>
                <w:rFonts w:hint="eastAsia" w:ascii="方正书宋_GBK" w:hAnsi="方正书宋_GBK" w:eastAsia="仿宋" w:cs="仿宋_GB2312"/>
                <w:sz w:val="21"/>
                <w:szCs w:val="21"/>
              </w:rPr>
              <w:t>2.检查之日起前十二个月内无违反同一法律规定的查处记录；</w:t>
            </w:r>
          </w:p>
          <w:p>
            <w:pPr>
              <w:pStyle w:val="8"/>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z w:val="21"/>
                <w:szCs w:val="21"/>
              </w:rPr>
            </w:pPr>
            <w:r>
              <w:rPr>
                <w:rFonts w:hint="eastAsia" w:ascii="方正书宋_GBK" w:hAnsi="方正书宋_GBK" w:eastAsia="仿宋" w:cs="仿宋_GB2312"/>
                <w:sz w:val="21"/>
                <w:szCs w:val="21"/>
              </w:rPr>
              <w:t>3.未造成危害后果；</w:t>
            </w:r>
          </w:p>
          <w:p>
            <w:pPr>
              <w:pStyle w:val="8"/>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z w:val="21"/>
                <w:szCs w:val="21"/>
              </w:rPr>
            </w:pPr>
            <w:r>
              <w:rPr>
                <w:rFonts w:hint="eastAsia" w:ascii="方正书宋_GBK" w:hAnsi="方正书宋_GBK" w:eastAsia="仿宋" w:cs="仿宋_GB2312"/>
                <w:sz w:val="21"/>
                <w:szCs w:val="21"/>
              </w:rPr>
              <w:t>4.主动整改或在行政机关责令（限期）改正期限内改正。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7" w:hRule="atLeast"/>
          <w:tblHeader/>
          <w:jc w:val="center"/>
        </w:trPr>
        <w:tc>
          <w:tcPr>
            <w:tcW w:w="751"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仿宋" w:cs="仿宋"/>
                <w:sz w:val="21"/>
                <w:szCs w:val="21"/>
              </w:rPr>
            </w:pPr>
            <w:r>
              <w:rPr>
                <w:rFonts w:hint="eastAsia" w:ascii="方正书宋_GBK" w:hAnsi="方正书宋_GBK" w:eastAsia="仿宋" w:cs="仿宋"/>
                <w:sz w:val="21"/>
                <w:szCs w:val="21"/>
              </w:rPr>
              <w:t>2</w:t>
            </w:r>
          </w:p>
        </w:tc>
        <w:tc>
          <w:tcPr>
            <w:tcW w:w="3435"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z w:val="21"/>
                <w:szCs w:val="21"/>
              </w:rPr>
            </w:pPr>
            <w:r>
              <w:rPr>
                <w:rFonts w:hint="eastAsia" w:ascii="方正书宋_GBK" w:hAnsi="方正书宋_GBK" w:eastAsia="仿宋" w:cs="仿宋_GB2312"/>
                <w:sz w:val="21"/>
                <w:szCs w:val="21"/>
              </w:rPr>
              <w:t>对用人单位采取欺诈或者其他方式谋取非法利益的处罚</w:t>
            </w:r>
          </w:p>
        </w:tc>
        <w:tc>
          <w:tcPr>
            <w:tcW w:w="6360"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z w:val="21"/>
                <w:szCs w:val="21"/>
              </w:rPr>
            </w:pPr>
            <w:r>
              <w:rPr>
                <w:rFonts w:hint="eastAsia" w:ascii="方正书宋_GBK" w:hAnsi="方正书宋_GBK" w:eastAsia="仿宋" w:cs="仿宋"/>
                <w:sz w:val="21"/>
                <w:szCs w:val="21"/>
              </w:rPr>
              <w:t>《郑州市人才市场管理办法》（郑州市人民政府令第104号，2020年1月17日修订）</w:t>
            </w:r>
            <w:r>
              <w:rPr>
                <w:rFonts w:hint="eastAsia" w:ascii="方正书宋_GBK" w:hAnsi="方正书宋_GBK" w:eastAsia="仿宋" w:cs="仿宋_GB2312"/>
                <w:sz w:val="21"/>
                <w:szCs w:val="21"/>
              </w:rPr>
              <w:t>第二十七条：用人单位违反本办法规定，有下列行为之一的，由市、县（市）、区人事行政部门按照下列规定给予处罚：（二）采取欺诈或者其他方式谋取非法利益的，责令改正，并处以5000元以上10000元以下罚款。</w:t>
            </w:r>
          </w:p>
        </w:tc>
        <w:tc>
          <w:tcPr>
            <w:tcW w:w="3454"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z w:val="21"/>
                <w:szCs w:val="21"/>
              </w:rPr>
            </w:pPr>
            <w:r>
              <w:rPr>
                <w:rFonts w:hint="eastAsia" w:ascii="方正书宋_GBK" w:hAnsi="方正书宋_GBK" w:eastAsia="仿宋" w:cs="仿宋_GB2312"/>
                <w:sz w:val="21"/>
                <w:szCs w:val="21"/>
              </w:rPr>
              <w:t>同时具备以下条件：</w:t>
            </w:r>
          </w:p>
          <w:p>
            <w:pPr>
              <w:pStyle w:val="8"/>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z w:val="21"/>
                <w:szCs w:val="21"/>
              </w:rPr>
            </w:pPr>
            <w:r>
              <w:rPr>
                <w:rFonts w:hint="eastAsia" w:ascii="方正书宋_GBK" w:hAnsi="方正书宋_GBK" w:eastAsia="仿宋" w:cs="仿宋_GB2312"/>
                <w:sz w:val="21"/>
                <w:szCs w:val="21"/>
              </w:rPr>
              <w:t>1.没有违法所得；</w:t>
            </w:r>
          </w:p>
          <w:p>
            <w:pPr>
              <w:pStyle w:val="8"/>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z w:val="21"/>
                <w:szCs w:val="21"/>
              </w:rPr>
            </w:pPr>
            <w:r>
              <w:rPr>
                <w:rFonts w:hint="eastAsia" w:ascii="方正书宋_GBK" w:hAnsi="方正书宋_GBK" w:eastAsia="仿宋" w:cs="仿宋_GB2312"/>
                <w:sz w:val="21"/>
                <w:szCs w:val="21"/>
              </w:rPr>
              <w:t>2.检查之日起前十二个月内无违反同一法律规定的查处记录；</w:t>
            </w:r>
          </w:p>
          <w:p>
            <w:pPr>
              <w:pStyle w:val="8"/>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z w:val="21"/>
                <w:szCs w:val="21"/>
              </w:rPr>
            </w:pPr>
            <w:r>
              <w:rPr>
                <w:rFonts w:hint="eastAsia" w:ascii="方正书宋_GBK" w:hAnsi="方正书宋_GBK" w:eastAsia="仿宋" w:cs="仿宋_GB2312"/>
                <w:sz w:val="21"/>
                <w:szCs w:val="21"/>
              </w:rPr>
              <w:t>3.未造成危害后果；</w:t>
            </w:r>
          </w:p>
          <w:p>
            <w:pPr>
              <w:pStyle w:val="8"/>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z w:val="21"/>
                <w:szCs w:val="21"/>
              </w:rPr>
            </w:pPr>
            <w:r>
              <w:rPr>
                <w:rFonts w:hint="eastAsia" w:ascii="方正书宋_GBK" w:hAnsi="方正书宋_GBK" w:eastAsia="仿宋" w:cs="仿宋_GB2312"/>
                <w:sz w:val="21"/>
                <w:szCs w:val="21"/>
              </w:rPr>
              <w:t>4.主动整改或在行政机关责令（限期）改正期限内改正。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blHeader/>
          <w:jc w:val="center"/>
        </w:trPr>
        <w:tc>
          <w:tcPr>
            <w:tcW w:w="14000" w:type="dxa"/>
            <w:gridSpan w:val="4"/>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黑体"/>
                <w:sz w:val="21"/>
                <w:szCs w:val="21"/>
              </w:rPr>
            </w:pPr>
            <w:bookmarkStart w:id="0" w:name="_Hlk121304461"/>
            <w:r>
              <w:rPr>
                <w:rFonts w:hint="eastAsia" w:ascii="方正书宋_GBK" w:hAnsi="方正书宋_GBK" w:eastAsia="黑体" w:cs="黑体"/>
                <w:sz w:val="21"/>
                <w:szCs w:val="21"/>
              </w:rPr>
              <w:t>轻微违法行为免予处罚清单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tblHeader/>
          <w:jc w:val="center"/>
        </w:trPr>
        <w:tc>
          <w:tcPr>
            <w:tcW w:w="751"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黑体"/>
                <w:spacing w:val="-17"/>
                <w:sz w:val="21"/>
                <w:szCs w:val="21"/>
              </w:rPr>
            </w:pPr>
            <w:r>
              <w:rPr>
                <w:rFonts w:hint="eastAsia" w:ascii="方正书宋_GBK" w:hAnsi="方正书宋_GBK" w:eastAsia="黑体" w:cs="黑体"/>
                <w:spacing w:val="-17"/>
                <w:sz w:val="21"/>
                <w:szCs w:val="21"/>
              </w:rPr>
              <w:t>序号</w:t>
            </w:r>
          </w:p>
        </w:tc>
        <w:tc>
          <w:tcPr>
            <w:tcW w:w="3435"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黑体"/>
                <w:sz w:val="21"/>
                <w:szCs w:val="21"/>
              </w:rPr>
            </w:pPr>
            <w:r>
              <w:rPr>
                <w:rFonts w:hint="eastAsia" w:ascii="方正书宋_GBK" w:hAnsi="方正书宋_GBK" w:eastAsia="黑体" w:cs="黑体"/>
                <w:sz w:val="21"/>
                <w:szCs w:val="21"/>
              </w:rPr>
              <w:t>处罚事项名称</w:t>
            </w:r>
          </w:p>
        </w:tc>
        <w:tc>
          <w:tcPr>
            <w:tcW w:w="6360"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黑体"/>
                <w:sz w:val="21"/>
                <w:szCs w:val="21"/>
              </w:rPr>
            </w:pPr>
            <w:r>
              <w:rPr>
                <w:rFonts w:hint="eastAsia" w:ascii="方正书宋_GBK" w:hAnsi="方正书宋_GBK" w:eastAsia="黑体" w:cs="黑体"/>
                <w:sz w:val="21"/>
                <w:szCs w:val="21"/>
              </w:rPr>
              <w:t>设定依据</w:t>
            </w:r>
          </w:p>
        </w:tc>
        <w:tc>
          <w:tcPr>
            <w:tcW w:w="3454"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黑体"/>
                <w:spacing w:val="-17"/>
                <w:sz w:val="21"/>
                <w:szCs w:val="21"/>
              </w:rPr>
            </w:pPr>
            <w:r>
              <w:rPr>
                <w:rFonts w:hint="eastAsia" w:ascii="方正书宋_GBK" w:hAnsi="方正书宋_GBK" w:eastAsia="黑体" w:cs="黑体"/>
                <w:spacing w:val="-17"/>
                <w:sz w:val="21"/>
                <w:szCs w:val="21"/>
              </w:rPr>
              <w:t>免予处罚情形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7" w:hRule="atLeast"/>
          <w:tblHeader/>
          <w:jc w:val="center"/>
        </w:trPr>
        <w:tc>
          <w:tcPr>
            <w:tcW w:w="751"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ascii="方正书宋_GBK" w:hAnsi="方正书宋_GBK" w:eastAsia="仿宋" w:cs="仿宋"/>
                <w:sz w:val="21"/>
                <w:szCs w:val="21"/>
              </w:rPr>
            </w:pPr>
            <w:r>
              <w:rPr>
                <w:rFonts w:hint="eastAsia" w:ascii="方正书宋_GBK" w:hAnsi="方正书宋_GBK" w:eastAsia="仿宋" w:cs="仿宋"/>
                <w:sz w:val="21"/>
                <w:szCs w:val="21"/>
              </w:rPr>
              <w:t>3</w:t>
            </w:r>
          </w:p>
        </w:tc>
        <w:tc>
          <w:tcPr>
            <w:tcW w:w="3435"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z w:val="21"/>
                <w:szCs w:val="21"/>
              </w:rPr>
            </w:pPr>
            <w:r>
              <w:rPr>
                <w:rFonts w:hint="eastAsia" w:ascii="方正书宋_GBK" w:hAnsi="方正书宋_GBK" w:eastAsia="仿宋" w:cs="仿宋_GB2312"/>
                <w:sz w:val="21"/>
                <w:szCs w:val="21"/>
              </w:rPr>
              <w:t>对人力资源中介服务组织超出许可的业务范围经营、为无合法身份证件的劳动者提供人力资源中介服务的、介绍劳动者从事法律、法规禁止的职业、以暴力、胁迫、欺诈等方式进行人力资源中介服务活动的处罚</w:t>
            </w:r>
          </w:p>
        </w:tc>
        <w:tc>
          <w:tcPr>
            <w:tcW w:w="6360"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z w:val="21"/>
                <w:szCs w:val="21"/>
              </w:rPr>
            </w:pPr>
            <w:r>
              <w:rPr>
                <w:rFonts w:hint="eastAsia" w:ascii="方正书宋_GBK" w:hAnsi="方正书宋_GBK" w:eastAsia="仿宋" w:cs="仿宋_GB2312"/>
                <w:sz w:val="21"/>
                <w:szCs w:val="21"/>
              </w:rPr>
              <w:t>《郑州市劳动用工条例》（自2013年1月1日起施行）第四十四条：违反本条例规定，有下列行为之一的，按照下列规定处罚：（三）违反第九条第（一）项、第（四）项、第（六）项、第（九）项规定的，由人力资源社会保障行政部门责令改正；没有违法所得的，可处以一万元以下罚款；有违法所得的，可处以不超过违法所得三倍的罚款，但最高不得超过三万元；情节严重的，提请工商行政管理部门依法吊销营业执照；对当事人造成损害的，依法承担赔偿责任。</w:t>
            </w:r>
          </w:p>
        </w:tc>
        <w:tc>
          <w:tcPr>
            <w:tcW w:w="3454"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z w:val="21"/>
                <w:szCs w:val="21"/>
              </w:rPr>
            </w:pPr>
            <w:r>
              <w:rPr>
                <w:rFonts w:hint="eastAsia" w:ascii="方正书宋_GBK" w:hAnsi="方正书宋_GBK" w:eastAsia="仿宋" w:cs="仿宋_GB2312"/>
                <w:sz w:val="21"/>
                <w:szCs w:val="21"/>
              </w:rPr>
              <w:t>同时具备以下条件：</w:t>
            </w:r>
          </w:p>
          <w:p>
            <w:pPr>
              <w:pStyle w:val="8"/>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z w:val="21"/>
                <w:szCs w:val="21"/>
              </w:rPr>
            </w:pPr>
            <w:r>
              <w:rPr>
                <w:rFonts w:hint="eastAsia" w:ascii="方正书宋_GBK" w:hAnsi="方正书宋_GBK" w:eastAsia="仿宋" w:cs="仿宋_GB2312"/>
                <w:sz w:val="21"/>
                <w:szCs w:val="21"/>
              </w:rPr>
              <w:t>1.没有违法所得；</w:t>
            </w:r>
          </w:p>
          <w:p>
            <w:pPr>
              <w:pStyle w:val="8"/>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z w:val="21"/>
                <w:szCs w:val="21"/>
              </w:rPr>
            </w:pPr>
            <w:r>
              <w:rPr>
                <w:rFonts w:hint="eastAsia" w:ascii="方正书宋_GBK" w:hAnsi="方正书宋_GBK" w:eastAsia="仿宋" w:cs="仿宋_GB2312"/>
                <w:sz w:val="21"/>
                <w:szCs w:val="21"/>
              </w:rPr>
              <w:t>2.检查之日起前十二个月内无违反同一法律规定的查处记录；</w:t>
            </w:r>
          </w:p>
          <w:p>
            <w:pPr>
              <w:pStyle w:val="8"/>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z w:val="21"/>
                <w:szCs w:val="21"/>
              </w:rPr>
            </w:pPr>
            <w:r>
              <w:rPr>
                <w:rFonts w:hint="eastAsia" w:ascii="方正书宋_GBK" w:hAnsi="方正书宋_GBK" w:eastAsia="仿宋" w:cs="仿宋_GB2312"/>
                <w:sz w:val="21"/>
                <w:szCs w:val="21"/>
              </w:rPr>
              <w:t>3.未造成危害后果；</w:t>
            </w:r>
          </w:p>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z w:val="21"/>
                <w:szCs w:val="21"/>
              </w:rPr>
            </w:pPr>
            <w:r>
              <w:rPr>
                <w:rFonts w:hint="eastAsia" w:ascii="方正书宋_GBK" w:hAnsi="方正书宋_GBK" w:eastAsia="仿宋" w:cs="仿宋_GB2312"/>
                <w:sz w:val="21"/>
                <w:szCs w:val="21"/>
              </w:rPr>
              <w:t>4.主动整改或在行政机关责令（限期）改正期限内改正。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1" w:hRule="atLeast"/>
          <w:tblHeader/>
          <w:jc w:val="center"/>
        </w:trPr>
        <w:tc>
          <w:tcPr>
            <w:tcW w:w="14000" w:type="dxa"/>
            <w:gridSpan w:val="4"/>
            <w:noWrap w:val="0"/>
            <w:vAlign w:val="center"/>
          </w:tcPr>
          <w:p>
            <w:pPr>
              <w:pStyle w:val="4"/>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_GB2312" w:cs="仿宋_GB2312"/>
                <w:sz w:val="21"/>
                <w:szCs w:val="21"/>
              </w:rPr>
            </w:pPr>
            <w:r>
              <w:rPr>
                <w:rFonts w:hint="eastAsia" w:ascii="方正书宋_GBK" w:hAnsi="方正书宋_GBK" w:eastAsia="黑体" w:cs="黑体"/>
                <w:sz w:val="21"/>
                <w:szCs w:val="21"/>
              </w:rPr>
              <w:t>注：</w:t>
            </w:r>
            <w:r>
              <w:rPr>
                <w:rFonts w:hint="eastAsia" w:ascii="方正书宋_GBK" w:hAnsi="方正书宋_GBK" w:eastAsia="仿宋" w:cs="仿宋"/>
                <w:sz w:val="21"/>
                <w:szCs w:val="21"/>
              </w:rPr>
              <w:t>1.轻微违法行为免予行政处罚：是指按照法律、法规和规章的规定，应当给予行政处罚，但鉴于情节轻微、未造成危害后果，且及时纠正，而不予行政处罚。2.检查之日起前十二个月无违反同一法律规定查处记录：是指自检查之日起前十二个月内，在全市范围内未发现该用人单位违反同一法律、法规规定被查处的记录。3.未造成危害后果：是指违法行为还未产生行为后果或没有造成社会不良影响等。4.主动整改或在行政机关责令（限期）改正期限内改正：是指未经行政机关责令，用人单位或经营性人力资源服务机构主动纠正；或经行政机关责令，按规定期限要求改正了违法行为，且经执法人员复查符合法律、法规的规定。</w:t>
            </w:r>
          </w:p>
        </w:tc>
      </w:tr>
      <w:bookmarkEnd w:id="0"/>
    </w:tbl>
    <w:p>
      <w:pPr>
        <w:pStyle w:val="4"/>
        <w:keepNext w:val="0"/>
        <w:keepLines w:val="0"/>
        <w:pageBreakBefore w:val="0"/>
        <w:kinsoku/>
        <w:wordWrap/>
        <w:overflowPunct/>
        <w:topLinePunct w:val="0"/>
        <w:autoSpaceDE/>
        <w:autoSpaceDN/>
        <w:bidi w:val="0"/>
        <w:adjustRightInd/>
        <w:snapToGrid w:val="0"/>
        <w:spacing w:beforeAutospacing="0" w:afterAutospacing="0" w:line="240" w:lineRule="auto"/>
        <w:ind w:firstLine="482"/>
        <w:rPr>
          <w:rFonts w:hint="eastAsia" w:ascii="方正书宋_GBK" w:hAnsi="方正书宋_GBK" w:eastAsia="仿宋_GB2312" w:cs="仿宋_GB2312"/>
          <w:sz w:val="21"/>
          <w:szCs w:val="21"/>
        </w:rPr>
      </w:pPr>
    </w:p>
    <w:p>
      <w:pPr>
        <w:pStyle w:val="4"/>
        <w:keepNext w:val="0"/>
        <w:keepLines w:val="0"/>
        <w:pageBreakBefore w:val="0"/>
        <w:kinsoku/>
        <w:wordWrap/>
        <w:overflowPunct/>
        <w:topLinePunct w:val="0"/>
        <w:autoSpaceDE/>
        <w:autoSpaceDN/>
        <w:bidi w:val="0"/>
        <w:adjustRightInd/>
        <w:snapToGrid w:val="0"/>
        <w:spacing w:beforeAutospacing="0" w:afterAutospacing="0" w:line="240" w:lineRule="auto"/>
        <w:ind w:firstLine="482"/>
        <w:rPr>
          <w:rFonts w:hint="eastAsia" w:ascii="方正书宋_GBK" w:hAnsi="方正书宋_GBK" w:eastAsia="仿宋_GB2312" w:cs="仿宋_GB2312"/>
          <w:sz w:val="21"/>
          <w:szCs w:val="21"/>
        </w:rPr>
      </w:pPr>
    </w:p>
    <w:p>
      <w:pPr>
        <w:pStyle w:val="4"/>
        <w:keepNext w:val="0"/>
        <w:keepLines w:val="0"/>
        <w:pageBreakBefore w:val="0"/>
        <w:kinsoku/>
        <w:wordWrap/>
        <w:overflowPunct/>
        <w:topLinePunct w:val="0"/>
        <w:autoSpaceDE/>
        <w:autoSpaceDN/>
        <w:bidi w:val="0"/>
        <w:adjustRightInd/>
        <w:snapToGrid w:val="0"/>
        <w:spacing w:beforeAutospacing="0" w:afterAutospacing="0" w:line="240" w:lineRule="auto"/>
        <w:ind w:firstLine="482"/>
        <w:rPr>
          <w:rFonts w:hint="eastAsia" w:ascii="方正书宋_GBK" w:hAnsi="方正书宋_GBK" w:eastAsia="仿宋_GB2312" w:cs="仿宋_GB2312"/>
          <w:sz w:val="21"/>
          <w:szCs w:val="21"/>
        </w:rPr>
      </w:pPr>
    </w:p>
    <w:p>
      <w:pPr>
        <w:pStyle w:val="4"/>
        <w:keepNext w:val="0"/>
        <w:keepLines w:val="0"/>
        <w:pageBreakBefore w:val="0"/>
        <w:kinsoku/>
        <w:wordWrap/>
        <w:overflowPunct/>
        <w:topLinePunct w:val="0"/>
        <w:autoSpaceDE/>
        <w:autoSpaceDN/>
        <w:bidi w:val="0"/>
        <w:adjustRightInd/>
        <w:snapToGrid w:val="0"/>
        <w:spacing w:beforeAutospacing="0" w:afterAutospacing="0" w:line="240" w:lineRule="auto"/>
        <w:ind w:firstLine="482"/>
        <w:rPr>
          <w:rFonts w:hint="eastAsia" w:ascii="方正书宋_GBK" w:hAnsi="方正书宋_GBK" w:eastAsia="仿宋_GB2312" w:cs="仿宋_GB2312"/>
          <w:sz w:val="21"/>
          <w:szCs w:val="21"/>
        </w:rPr>
      </w:pPr>
    </w:p>
    <w:p>
      <w:pPr>
        <w:pStyle w:val="4"/>
        <w:keepNext w:val="0"/>
        <w:keepLines w:val="0"/>
        <w:pageBreakBefore w:val="0"/>
        <w:kinsoku/>
        <w:wordWrap/>
        <w:overflowPunct/>
        <w:topLinePunct w:val="0"/>
        <w:autoSpaceDE/>
        <w:autoSpaceDN/>
        <w:bidi w:val="0"/>
        <w:adjustRightInd/>
        <w:snapToGrid w:val="0"/>
        <w:spacing w:beforeAutospacing="0" w:afterAutospacing="0" w:line="240" w:lineRule="auto"/>
        <w:ind w:firstLine="482"/>
        <w:rPr>
          <w:rFonts w:hint="eastAsia" w:ascii="方正书宋_GBK" w:hAnsi="方正书宋_GBK" w:eastAsia="仿宋_GB2312" w:cs="仿宋_GB2312"/>
          <w:sz w:val="21"/>
          <w:szCs w:val="21"/>
        </w:rPr>
      </w:pPr>
    </w:p>
    <w:p>
      <w:pPr>
        <w:pStyle w:val="4"/>
        <w:keepNext w:val="0"/>
        <w:keepLines w:val="0"/>
        <w:pageBreakBefore w:val="0"/>
        <w:kinsoku/>
        <w:wordWrap/>
        <w:overflowPunct/>
        <w:topLinePunct w:val="0"/>
        <w:autoSpaceDE/>
        <w:autoSpaceDN/>
        <w:bidi w:val="0"/>
        <w:adjustRightInd/>
        <w:snapToGrid w:val="0"/>
        <w:spacing w:beforeAutospacing="0" w:afterAutospacing="0" w:line="240" w:lineRule="auto"/>
        <w:ind w:firstLine="482"/>
        <w:rPr>
          <w:rFonts w:hint="eastAsia" w:ascii="方正书宋_GBK" w:hAnsi="方正书宋_GBK" w:eastAsia="仿宋_GB2312" w:cs="仿宋_GB2312"/>
          <w:sz w:val="21"/>
          <w:szCs w:val="21"/>
        </w:rPr>
      </w:pPr>
    </w:p>
    <w:tbl>
      <w:tblPr>
        <w:tblStyle w:val="5"/>
        <w:tblW w:w="14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850"/>
        <w:gridCol w:w="4536"/>
        <w:gridCol w:w="2694"/>
        <w:gridCol w:w="1134"/>
        <w:gridCol w:w="1417"/>
        <w:gridCol w:w="2727"/>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blHeader/>
          <w:jc w:val="center"/>
        </w:trPr>
        <w:tc>
          <w:tcPr>
            <w:tcW w:w="14553" w:type="dxa"/>
            <w:gridSpan w:val="8"/>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仿宋_GB2312"/>
                <w:sz w:val="21"/>
                <w:szCs w:val="21"/>
              </w:rPr>
            </w:pPr>
            <w:r>
              <w:rPr>
                <w:rFonts w:hint="eastAsia" w:ascii="方正书宋_GBK" w:hAnsi="方正书宋_GBK" w:eastAsia="黑体" w:cs="仿宋_GB2312"/>
                <w:sz w:val="21"/>
                <w:szCs w:val="21"/>
              </w:rPr>
              <w:t>从轻处罚事项清单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blHeader/>
          <w:jc w:val="center"/>
        </w:trPr>
        <w:tc>
          <w:tcPr>
            <w:tcW w:w="392"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仿宋"/>
                <w:sz w:val="21"/>
                <w:szCs w:val="21"/>
              </w:rPr>
            </w:pPr>
            <w:r>
              <w:rPr>
                <w:rFonts w:hint="eastAsia" w:ascii="方正书宋_GBK" w:hAnsi="方正书宋_GBK" w:eastAsia="黑体" w:cs="仿宋"/>
                <w:sz w:val="21"/>
                <w:szCs w:val="21"/>
              </w:rPr>
              <w:t>序号</w:t>
            </w:r>
          </w:p>
        </w:tc>
        <w:tc>
          <w:tcPr>
            <w:tcW w:w="850"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仿宋_GB2312"/>
                <w:sz w:val="21"/>
                <w:szCs w:val="21"/>
              </w:rPr>
            </w:pPr>
            <w:r>
              <w:rPr>
                <w:rFonts w:hint="eastAsia" w:ascii="方正书宋_GBK" w:hAnsi="方正书宋_GBK" w:eastAsia="黑体" w:cs="仿宋_GB2312"/>
                <w:sz w:val="21"/>
                <w:szCs w:val="21"/>
              </w:rPr>
              <w:t>事项</w:t>
            </w:r>
          </w:p>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仿宋_GB2312"/>
                <w:sz w:val="21"/>
                <w:szCs w:val="21"/>
              </w:rPr>
            </w:pPr>
            <w:r>
              <w:rPr>
                <w:rFonts w:hint="eastAsia" w:ascii="方正书宋_GBK" w:hAnsi="方正书宋_GBK" w:eastAsia="黑体" w:cs="仿宋_GB2312"/>
                <w:sz w:val="21"/>
                <w:szCs w:val="21"/>
              </w:rPr>
              <w:t>名称</w:t>
            </w:r>
          </w:p>
        </w:tc>
        <w:tc>
          <w:tcPr>
            <w:tcW w:w="4536"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仿宋_GB2312"/>
                <w:sz w:val="21"/>
                <w:szCs w:val="21"/>
              </w:rPr>
            </w:pPr>
            <w:r>
              <w:rPr>
                <w:rFonts w:hint="eastAsia" w:ascii="方正书宋_GBK" w:hAnsi="方正书宋_GBK" w:eastAsia="黑体" w:cs="仿宋_GB2312"/>
                <w:sz w:val="21"/>
                <w:szCs w:val="21"/>
              </w:rPr>
              <w:t>设定依据</w:t>
            </w:r>
          </w:p>
        </w:tc>
        <w:tc>
          <w:tcPr>
            <w:tcW w:w="2694"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仿宋_GB2312"/>
                <w:sz w:val="21"/>
                <w:szCs w:val="21"/>
              </w:rPr>
            </w:pPr>
            <w:r>
              <w:rPr>
                <w:rFonts w:hint="eastAsia" w:ascii="方正书宋_GBK" w:hAnsi="方正书宋_GBK" w:eastAsia="黑体" w:cs="仿宋_GB2312"/>
                <w:sz w:val="21"/>
                <w:szCs w:val="21"/>
              </w:rPr>
              <w:t>适用情形</w:t>
            </w:r>
          </w:p>
        </w:tc>
        <w:tc>
          <w:tcPr>
            <w:tcW w:w="1134"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仿宋_GB2312"/>
                <w:sz w:val="21"/>
                <w:szCs w:val="21"/>
              </w:rPr>
            </w:pPr>
            <w:r>
              <w:rPr>
                <w:rFonts w:hint="eastAsia" w:ascii="方正书宋_GBK" w:hAnsi="方正书宋_GBK" w:eastAsia="黑体" w:cs="仿宋_GB2312"/>
                <w:sz w:val="21"/>
                <w:szCs w:val="21"/>
              </w:rPr>
              <w:t xml:space="preserve">从轻处罚依 </w:t>
            </w:r>
            <w:r>
              <w:rPr>
                <w:rFonts w:ascii="方正书宋_GBK" w:hAnsi="方正书宋_GBK" w:eastAsia="黑体" w:cs="仿宋_GB2312"/>
                <w:sz w:val="21"/>
                <w:szCs w:val="21"/>
              </w:rPr>
              <w:t xml:space="preserve">   </w:t>
            </w:r>
            <w:r>
              <w:rPr>
                <w:rFonts w:hint="eastAsia" w:ascii="方正书宋_GBK" w:hAnsi="方正书宋_GBK" w:eastAsia="黑体" w:cs="仿宋_GB2312"/>
                <w:sz w:val="21"/>
                <w:szCs w:val="21"/>
              </w:rPr>
              <w:t>据</w:t>
            </w:r>
          </w:p>
        </w:tc>
        <w:tc>
          <w:tcPr>
            <w:tcW w:w="1417"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仿宋_GB2312"/>
                <w:sz w:val="21"/>
                <w:szCs w:val="21"/>
              </w:rPr>
            </w:pPr>
            <w:r>
              <w:rPr>
                <w:rFonts w:hint="eastAsia" w:ascii="方正书宋_GBK" w:hAnsi="方正书宋_GBK" w:eastAsia="黑体" w:cs="仿宋_GB2312"/>
                <w:sz w:val="21"/>
                <w:szCs w:val="21"/>
              </w:rPr>
              <w:t>裁量幅度</w:t>
            </w:r>
          </w:p>
        </w:tc>
        <w:tc>
          <w:tcPr>
            <w:tcW w:w="2727"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仿宋_GB2312"/>
                <w:sz w:val="21"/>
                <w:szCs w:val="21"/>
              </w:rPr>
            </w:pPr>
            <w:r>
              <w:rPr>
                <w:rFonts w:hint="eastAsia" w:ascii="方正书宋_GBK" w:hAnsi="方正书宋_GBK" w:eastAsia="黑体" w:cs="仿宋_GB2312"/>
                <w:sz w:val="21"/>
                <w:szCs w:val="21"/>
              </w:rPr>
              <w:t>配套监管措施</w:t>
            </w:r>
          </w:p>
        </w:tc>
        <w:tc>
          <w:tcPr>
            <w:tcW w:w="803"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仿宋_GB2312"/>
                <w:sz w:val="21"/>
                <w:szCs w:val="21"/>
              </w:rPr>
            </w:pPr>
            <w:r>
              <w:rPr>
                <w:rFonts w:hint="eastAsia" w:ascii="方正书宋_GBK" w:hAnsi="方正书宋_GBK" w:eastAsia="黑体" w:cs="仿宋_GB2312"/>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2" w:hRule="atLeast"/>
          <w:tblHeader/>
          <w:jc w:val="center"/>
        </w:trPr>
        <w:tc>
          <w:tcPr>
            <w:tcW w:w="392"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仿宋" w:cs="仿宋"/>
                <w:spacing w:val="-6"/>
                <w:sz w:val="21"/>
                <w:szCs w:val="21"/>
              </w:rPr>
            </w:pPr>
            <w:r>
              <w:rPr>
                <w:rFonts w:hint="eastAsia" w:ascii="方正书宋_GBK" w:hAnsi="方正书宋_GBK" w:eastAsia="仿宋" w:cs="仿宋"/>
                <w:spacing w:val="-6"/>
                <w:sz w:val="21"/>
                <w:szCs w:val="21"/>
              </w:rPr>
              <w:t>1</w:t>
            </w:r>
          </w:p>
        </w:tc>
        <w:tc>
          <w:tcPr>
            <w:tcW w:w="850"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pacing w:val="-6"/>
                <w:sz w:val="21"/>
                <w:szCs w:val="21"/>
              </w:rPr>
            </w:pPr>
            <w:r>
              <w:rPr>
                <w:rFonts w:hint="eastAsia" w:ascii="方正书宋_GBK" w:hAnsi="方正书宋_GBK" w:eastAsia="仿宋" w:cs="仿宋_GB2312"/>
                <w:spacing w:val="-6"/>
                <w:sz w:val="21"/>
                <w:szCs w:val="21"/>
              </w:rPr>
              <w:t>对人力资源中介服务组织为无合法身份证件的劳动者提供人力资源中介服务的处罚</w:t>
            </w:r>
          </w:p>
        </w:tc>
        <w:tc>
          <w:tcPr>
            <w:tcW w:w="4536"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pacing w:val="-6"/>
                <w:sz w:val="21"/>
                <w:szCs w:val="21"/>
              </w:rPr>
            </w:pPr>
            <w:r>
              <w:rPr>
                <w:rFonts w:hint="eastAsia" w:ascii="方正书宋_GBK" w:hAnsi="方正书宋_GBK" w:eastAsia="仿宋" w:cs="仿宋_GB2312"/>
                <w:spacing w:val="-6"/>
                <w:sz w:val="21"/>
                <w:szCs w:val="21"/>
              </w:rPr>
              <w:t>《郑州市劳动用工条例》第九条第四项：人力资源中介服务组织不得有下列行为：(四)为无合法身份证件的劳动者提供人力资源中介服务;</w:t>
            </w:r>
          </w:p>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pacing w:val="-6"/>
                <w:sz w:val="21"/>
                <w:szCs w:val="21"/>
                <w:lang w:eastAsia="zh-CN"/>
              </w:rPr>
            </w:pPr>
            <w:r>
              <w:rPr>
                <w:rFonts w:hint="eastAsia" w:ascii="方正书宋_GBK" w:hAnsi="方正书宋_GBK" w:eastAsia="仿宋" w:cs="仿宋_GB2312"/>
                <w:spacing w:val="-6"/>
                <w:sz w:val="21"/>
                <w:szCs w:val="21"/>
              </w:rPr>
              <w:t>《郑州市劳动用工条例》第四十四条第（三）项：违反第九条第(一)项、第(四)项、第(六)项、第(九)项规定的，由人力资源社会保障行政部门责令改正;没有违法所得的，可处以一万元以下罚款;有违法所得的，可处以不超过违法所得三倍的罚款，但最高不得超过三万元;情节严重的，提请工商行政管理部门依法吊销营业执照;对当事人造成损害的，依法承担赔偿责任</w:t>
            </w:r>
            <w:r>
              <w:rPr>
                <w:rFonts w:hint="eastAsia" w:ascii="方正书宋_GBK" w:hAnsi="方正书宋_GBK" w:eastAsia="仿宋" w:cs="仿宋_GB2312"/>
                <w:spacing w:val="-6"/>
                <w:sz w:val="21"/>
                <w:szCs w:val="21"/>
                <w:lang w:eastAsia="zh-CN"/>
              </w:rPr>
              <w:t>。</w:t>
            </w:r>
          </w:p>
        </w:tc>
        <w:tc>
          <w:tcPr>
            <w:tcW w:w="2694"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pacing w:val="-6"/>
                <w:sz w:val="21"/>
                <w:szCs w:val="21"/>
              </w:rPr>
            </w:pPr>
            <w:r>
              <w:rPr>
                <w:rFonts w:hint="eastAsia" w:ascii="方正书宋_GBK" w:hAnsi="方正书宋_GBK" w:eastAsia="仿宋" w:cs="仿宋_GB2312"/>
                <w:spacing w:val="-6"/>
                <w:sz w:val="21"/>
                <w:szCs w:val="21"/>
              </w:rPr>
              <w:t>存在以下情形之一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tc>
        <w:tc>
          <w:tcPr>
            <w:tcW w:w="1134"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pacing w:val="-6"/>
                <w:sz w:val="21"/>
                <w:szCs w:val="21"/>
              </w:rPr>
            </w:pPr>
            <w:r>
              <w:rPr>
                <w:rFonts w:hint="eastAsia" w:ascii="方正书宋_GBK" w:hAnsi="方正书宋_GBK" w:eastAsia="仿宋" w:cs="仿宋_GB2312"/>
                <w:spacing w:val="-6"/>
                <w:sz w:val="21"/>
                <w:szCs w:val="21"/>
              </w:rPr>
              <w:t>《行政处罚法》第三十二条；</w:t>
            </w:r>
          </w:p>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pacing w:val="-6"/>
                <w:sz w:val="21"/>
                <w:szCs w:val="21"/>
              </w:rPr>
            </w:pPr>
            <w:r>
              <w:rPr>
                <w:rFonts w:hint="eastAsia" w:ascii="方正书宋_GBK" w:hAnsi="方正书宋_GBK" w:eastAsia="仿宋" w:cs="仿宋_GB2312"/>
                <w:spacing w:val="-6"/>
                <w:sz w:val="21"/>
                <w:szCs w:val="21"/>
              </w:rPr>
              <w:t>《河南省人力资源社会保障行政处罚裁量权适用规则》第九条、第十二条</w:t>
            </w:r>
          </w:p>
        </w:tc>
        <w:tc>
          <w:tcPr>
            <w:tcW w:w="1417"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pacing w:val="-6"/>
                <w:sz w:val="21"/>
                <w:szCs w:val="21"/>
              </w:rPr>
            </w:pPr>
            <w:r>
              <w:rPr>
                <w:rFonts w:hint="eastAsia" w:ascii="方正书宋_GBK" w:hAnsi="方正书宋_GBK" w:eastAsia="仿宋" w:cs="仿宋_GB2312"/>
                <w:spacing w:val="-6"/>
                <w:sz w:val="21"/>
                <w:szCs w:val="21"/>
              </w:rPr>
              <w:t>没有违法所得；逾期未改正违法行为，但在行政机关作出处罚决定前整改完毕，或具备其他从轻处罚适用情形的，可处2000元以下罚款。</w:t>
            </w:r>
          </w:p>
        </w:tc>
        <w:tc>
          <w:tcPr>
            <w:tcW w:w="2727"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pacing w:val="-6"/>
                <w:sz w:val="21"/>
                <w:szCs w:val="21"/>
              </w:rPr>
            </w:pPr>
            <w:r>
              <w:rPr>
                <w:rFonts w:hint="eastAsia" w:ascii="方正书宋_GBK" w:hAnsi="方正书宋_GBK" w:eastAsia="仿宋" w:cs="仿宋_GB2312"/>
                <w:spacing w:val="-6"/>
                <w:sz w:val="21"/>
                <w:szCs w:val="21"/>
              </w:rPr>
              <w:t>1.通过开展“双随机一公开”执法检查、专项检查等加大日常监管。</w:t>
            </w:r>
          </w:p>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pacing w:val="-6"/>
                <w:sz w:val="21"/>
                <w:szCs w:val="21"/>
              </w:rPr>
            </w:pPr>
            <w:r>
              <w:rPr>
                <w:rFonts w:hint="eastAsia" w:ascii="方正书宋_GBK" w:hAnsi="方正书宋_GBK" w:eastAsia="仿宋" w:cs="仿宋_GB2312"/>
                <w:spacing w:val="-6"/>
                <w:sz w:val="21"/>
                <w:szCs w:val="21"/>
              </w:rPr>
              <w:t>2.利用“互联网+监管”系统做好动态监管工作。</w:t>
            </w:r>
          </w:p>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pacing w:val="-6"/>
                <w:sz w:val="21"/>
                <w:szCs w:val="21"/>
              </w:rPr>
            </w:pPr>
            <w:r>
              <w:rPr>
                <w:rFonts w:hint="eastAsia" w:ascii="方正书宋_GBK" w:hAnsi="方正书宋_GBK" w:eastAsia="仿宋" w:cs="仿宋_GB2312"/>
                <w:spacing w:val="-6"/>
                <w:sz w:val="21"/>
                <w:szCs w:val="21"/>
              </w:rPr>
              <w:t>3.加强行政指导，通过提醒、约谈、指导、建议等柔性执法措施，鼓励当事人主动纠错，消除或减轻社会危害。</w:t>
            </w:r>
          </w:p>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pacing w:val="-6"/>
                <w:sz w:val="21"/>
                <w:szCs w:val="21"/>
              </w:rPr>
            </w:pPr>
            <w:r>
              <w:rPr>
                <w:rFonts w:hint="eastAsia" w:ascii="方正书宋_GBK" w:hAnsi="方正书宋_GBK" w:eastAsia="仿宋" w:cs="仿宋_GB2312"/>
                <w:spacing w:val="-6"/>
                <w:sz w:val="21"/>
                <w:szCs w:val="21"/>
              </w:rPr>
              <w:t>4.做好普法宣传工作。</w:t>
            </w:r>
          </w:p>
        </w:tc>
        <w:tc>
          <w:tcPr>
            <w:tcW w:w="803"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5" w:hRule="atLeast"/>
          <w:tblHeader/>
          <w:jc w:val="center"/>
        </w:trPr>
        <w:tc>
          <w:tcPr>
            <w:tcW w:w="392"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仿宋" w:cs="仿宋"/>
                <w:spacing w:val="-6"/>
                <w:sz w:val="21"/>
                <w:szCs w:val="21"/>
              </w:rPr>
            </w:pPr>
            <w:r>
              <w:rPr>
                <w:rFonts w:hint="eastAsia" w:ascii="方正书宋_GBK" w:hAnsi="方正书宋_GBK" w:eastAsia="仿宋" w:cs="仿宋"/>
                <w:spacing w:val="-6"/>
                <w:sz w:val="21"/>
                <w:szCs w:val="21"/>
              </w:rPr>
              <w:t>2</w:t>
            </w:r>
          </w:p>
        </w:tc>
        <w:tc>
          <w:tcPr>
            <w:tcW w:w="850"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pacing w:val="-6"/>
                <w:sz w:val="21"/>
                <w:szCs w:val="21"/>
              </w:rPr>
            </w:pPr>
            <w:r>
              <w:rPr>
                <w:rFonts w:hint="eastAsia" w:ascii="方正书宋_GBK" w:hAnsi="方正书宋_GBK" w:eastAsia="仿宋" w:cs="仿宋_GB2312"/>
                <w:spacing w:val="-6"/>
                <w:sz w:val="21"/>
                <w:szCs w:val="21"/>
              </w:rPr>
              <w:t>对人力资源中介服务组织介绍劳动者从事法律、法规禁止的职业处罚</w:t>
            </w:r>
          </w:p>
        </w:tc>
        <w:tc>
          <w:tcPr>
            <w:tcW w:w="4536"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pacing w:val="-6"/>
                <w:sz w:val="21"/>
                <w:szCs w:val="21"/>
              </w:rPr>
            </w:pPr>
            <w:r>
              <w:rPr>
                <w:rFonts w:hint="eastAsia" w:ascii="方正书宋_GBK" w:hAnsi="方正书宋_GBK" w:eastAsia="仿宋" w:cs="仿宋_GB2312"/>
                <w:spacing w:val="-6"/>
                <w:sz w:val="21"/>
                <w:szCs w:val="21"/>
              </w:rPr>
              <w:t>《郑州市劳动用工条例》第九条第六项：人力资源中介服务组织不得有下列行为：(六)介绍劳动者从事法律、法规禁止的职业;</w:t>
            </w:r>
          </w:p>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pacing w:val="-6"/>
                <w:sz w:val="21"/>
                <w:szCs w:val="21"/>
              </w:rPr>
            </w:pPr>
            <w:r>
              <w:rPr>
                <w:rFonts w:hint="eastAsia" w:ascii="方正书宋_GBK" w:hAnsi="方正书宋_GBK" w:eastAsia="仿宋" w:cs="仿宋_GB2312"/>
                <w:spacing w:val="-6"/>
                <w:sz w:val="21"/>
                <w:szCs w:val="21"/>
              </w:rPr>
              <w:t>《郑州市劳动用工条例》第四十四条第（三）项：违反本条例规定，有下列行为之一的，按照下列规定处罚：（三）违反第九条……第（九）项规定的，由人力资源社会保障行政部门责令改正；没有违法所得的，可处以一万元以下罚款；有违法所得的，可处以不超过违法所得三倍的罚款，但最高不得超过三万元；情节严重的，提请工商行政管理部门依法吊销营业执照；对当事人造成损害的，依法承担赔偿责任。</w:t>
            </w:r>
          </w:p>
        </w:tc>
        <w:tc>
          <w:tcPr>
            <w:tcW w:w="2694"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pacing w:val="-6"/>
                <w:sz w:val="21"/>
                <w:szCs w:val="21"/>
              </w:rPr>
            </w:pPr>
            <w:r>
              <w:rPr>
                <w:rFonts w:hint="eastAsia" w:ascii="方正书宋_GBK" w:hAnsi="方正书宋_GBK" w:eastAsia="仿宋" w:cs="仿宋_GB2312"/>
                <w:spacing w:val="-6"/>
                <w:sz w:val="21"/>
                <w:szCs w:val="21"/>
              </w:rPr>
              <w:t>存在以下情形之一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tc>
        <w:tc>
          <w:tcPr>
            <w:tcW w:w="1134"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pacing w:val="-6"/>
                <w:sz w:val="21"/>
                <w:szCs w:val="21"/>
              </w:rPr>
            </w:pPr>
            <w:r>
              <w:rPr>
                <w:rFonts w:hint="eastAsia" w:ascii="方正书宋_GBK" w:hAnsi="方正书宋_GBK" w:eastAsia="仿宋" w:cs="仿宋_GB2312"/>
                <w:spacing w:val="-6"/>
                <w:sz w:val="21"/>
                <w:szCs w:val="21"/>
              </w:rPr>
              <w:t>《行政处罚法》第三十二条；</w:t>
            </w:r>
          </w:p>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pacing w:val="-6"/>
                <w:sz w:val="21"/>
                <w:szCs w:val="21"/>
              </w:rPr>
            </w:pPr>
            <w:r>
              <w:rPr>
                <w:rFonts w:hint="eastAsia" w:ascii="方正书宋_GBK" w:hAnsi="方正书宋_GBK" w:eastAsia="仿宋" w:cs="仿宋_GB2312"/>
                <w:spacing w:val="-6"/>
                <w:sz w:val="21"/>
                <w:szCs w:val="21"/>
              </w:rPr>
              <w:t>《河南省人力资源社会保障行政处罚裁量权适用规则》第九条、第十二条</w:t>
            </w:r>
          </w:p>
        </w:tc>
        <w:tc>
          <w:tcPr>
            <w:tcW w:w="1417"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pacing w:val="-6"/>
                <w:sz w:val="21"/>
                <w:szCs w:val="21"/>
              </w:rPr>
            </w:pPr>
            <w:r>
              <w:rPr>
                <w:rFonts w:hint="eastAsia" w:ascii="方正书宋_GBK" w:hAnsi="方正书宋_GBK" w:eastAsia="仿宋" w:cs="仿宋_GB2312"/>
                <w:spacing w:val="-6"/>
                <w:sz w:val="21"/>
                <w:szCs w:val="21"/>
              </w:rPr>
              <w:t>没有违法所得；逾期未改正违法行为，但在行政机关作出处罚决定前整改完毕，或具备其他从轻处罚适用情形的，可处2000元以下罚款。</w:t>
            </w:r>
          </w:p>
        </w:tc>
        <w:tc>
          <w:tcPr>
            <w:tcW w:w="2727"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pacing w:val="-6"/>
                <w:sz w:val="21"/>
                <w:szCs w:val="21"/>
              </w:rPr>
            </w:pPr>
            <w:r>
              <w:rPr>
                <w:rFonts w:hint="eastAsia" w:ascii="方正书宋_GBK" w:hAnsi="方正书宋_GBK" w:eastAsia="仿宋" w:cs="仿宋_GB2312"/>
                <w:spacing w:val="-6"/>
                <w:sz w:val="21"/>
                <w:szCs w:val="21"/>
              </w:rPr>
              <w:t>1.通过开展“双随机一公开”执法检查、专项检查等加大日常监管。</w:t>
            </w:r>
          </w:p>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pacing w:val="-6"/>
                <w:sz w:val="21"/>
                <w:szCs w:val="21"/>
              </w:rPr>
            </w:pPr>
            <w:r>
              <w:rPr>
                <w:rFonts w:hint="eastAsia" w:ascii="方正书宋_GBK" w:hAnsi="方正书宋_GBK" w:eastAsia="仿宋" w:cs="仿宋_GB2312"/>
                <w:spacing w:val="-6"/>
                <w:sz w:val="21"/>
                <w:szCs w:val="21"/>
              </w:rPr>
              <w:t>2.利用“互联网+监管”系统做好动态监管工作。</w:t>
            </w:r>
          </w:p>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pacing w:val="-6"/>
                <w:sz w:val="21"/>
                <w:szCs w:val="21"/>
              </w:rPr>
            </w:pPr>
            <w:r>
              <w:rPr>
                <w:rFonts w:hint="eastAsia" w:ascii="方正书宋_GBK" w:hAnsi="方正书宋_GBK" w:eastAsia="仿宋" w:cs="仿宋_GB2312"/>
                <w:spacing w:val="-6"/>
                <w:sz w:val="21"/>
                <w:szCs w:val="21"/>
              </w:rPr>
              <w:t>3.加强行政指导，通过提醒、约谈、指导、建议等柔性执法措施，鼓励当事人主动纠错，消除或减轻社会危害。</w:t>
            </w:r>
          </w:p>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pacing w:val="-6"/>
                <w:sz w:val="21"/>
                <w:szCs w:val="21"/>
              </w:rPr>
            </w:pPr>
            <w:r>
              <w:rPr>
                <w:rFonts w:hint="eastAsia" w:ascii="方正书宋_GBK" w:hAnsi="方正书宋_GBK" w:eastAsia="仿宋" w:cs="仿宋_GB2312"/>
                <w:spacing w:val="-6"/>
                <w:sz w:val="21"/>
                <w:szCs w:val="21"/>
              </w:rPr>
              <w:t>4.做好普法宣传工作。</w:t>
            </w:r>
          </w:p>
        </w:tc>
        <w:tc>
          <w:tcPr>
            <w:tcW w:w="803"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blHeader/>
          <w:jc w:val="center"/>
        </w:trPr>
        <w:tc>
          <w:tcPr>
            <w:tcW w:w="14553" w:type="dxa"/>
            <w:gridSpan w:val="8"/>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仿宋_GB2312"/>
                <w:sz w:val="21"/>
                <w:szCs w:val="21"/>
              </w:rPr>
            </w:pPr>
            <w:r>
              <w:rPr>
                <w:rFonts w:hint="eastAsia" w:ascii="方正书宋_GBK" w:hAnsi="方正书宋_GBK" w:eastAsia="黑体" w:cs="仿宋_GB2312"/>
                <w:sz w:val="21"/>
                <w:szCs w:val="21"/>
              </w:rPr>
              <w:t>从轻处罚事项清单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blHeader/>
          <w:jc w:val="center"/>
        </w:trPr>
        <w:tc>
          <w:tcPr>
            <w:tcW w:w="392"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仿宋"/>
                <w:sz w:val="21"/>
                <w:szCs w:val="21"/>
              </w:rPr>
            </w:pPr>
            <w:r>
              <w:rPr>
                <w:rFonts w:hint="eastAsia" w:ascii="方正书宋_GBK" w:hAnsi="方正书宋_GBK" w:eastAsia="黑体" w:cs="仿宋"/>
                <w:sz w:val="21"/>
                <w:szCs w:val="21"/>
              </w:rPr>
              <w:t>序号</w:t>
            </w:r>
          </w:p>
        </w:tc>
        <w:tc>
          <w:tcPr>
            <w:tcW w:w="850"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仿宋_GB2312"/>
                <w:sz w:val="21"/>
                <w:szCs w:val="21"/>
              </w:rPr>
            </w:pPr>
            <w:r>
              <w:rPr>
                <w:rFonts w:hint="eastAsia" w:ascii="方正书宋_GBK" w:hAnsi="方正书宋_GBK" w:eastAsia="黑体" w:cs="仿宋_GB2312"/>
                <w:sz w:val="21"/>
                <w:szCs w:val="21"/>
              </w:rPr>
              <w:t>事项</w:t>
            </w:r>
          </w:p>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仿宋_GB2312"/>
                <w:sz w:val="21"/>
                <w:szCs w:val="21"/>
              </w:rPr>
            </w:pPr>
            <w:r>
              <w:rPr>
                <w:rFonts w:hint="eastAsia" w:ascii="方正书宋_GBK" w:hAnsi="方正书宋_GBK" w:eastAsia="黑体" w:cs="仿宋_GB2312"/>
                <w:sz w:val="21"/>
                <w:szCs w:val="21"/>
              </w:rPr>
              <w:t>名称</w:t>
            </w:r>
          </w:p>
        </w:tc>
        <w:tc>
          <w:tcPr>
            <w:tcW w:w="4536"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仿宋_GB2312"/>
                <w:sz w:val="21"/>
                <w:szCs w:val="21"/>
              </w:rPr>
            </w:pPr>
            <w:r>
              <w:rPr>
                <w:rFonts w:hint="eastAsia" w:ascii="方正书宋_GBK" w:hAnsi="方正书宋_GBK" w:eastAsia="黑体" w:cs="仿宋_GB2312"/>
                <w:sz w:val="21"/>
                <w:szCs w:val="21"/>
              </w:rPr>
              <w:t>设定依据</w:t>
            </w:r>
          </w:p>
        </w:tc>
        <w:tc>
          <w:tcPr>
            <w:tcW w:w="2694"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仿宋_GB2312"/>
                <w:sz w:val="21"/>
                <w:szCs w:val="21"/>
              </w:rPr>
            </w:pPr>
            <w:r>
              <w:rPr>
                <w:rFonts w:hint="eastAsia" w:ascii="方正书宋_GBK" w:hAnsi="方正书宋_GBK" w:eastAsia="黑体" w:cs="仿宋_GB2312"/>
                <w:sz w:val="21"/>
                <w:szCs w:val="21"/>
              </w:rPr>
              <w:t>适用情形</w:t>
            </w:r>
          </w:p>
        </w:tc>
        <w:tc>
          <w:tcPr>
            <w:tcW w:w="1134"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仿宋_GB2312"/>
                <w:sz w:val="21"/>
                <w:szCs w:val="21"/>
              </w:rPr>
            </w:pPr>
            <w:r>
              <w:rPr>
                <w:rFonts w:hint="eastAsia" w:ascii="方正书宋_GBK" w:hAnsi="方正书宋_GBK" w:eastAsia="黑体" w:cs="仿宋_GB2312"/>
                <w:sz w:val="21"/>
                <w:szCs w:val="21"/>
              </w:rPr>
              <w:t xml:space="preserve">从轻处罚依 </w:t>
            </w:r>
            <w:r>
              <w:rPr>
                <w:rFonts w:ascii="方正书宋_GBK" w:hAnsi="方正书宋_GBK" w:eastAsia="黑体" w:cs="仿宋_GB2312"/>
                <w:sz w:val="21"/>
                <w:szCs w:val="21"/>
              </w:rPr>
              <w:t xml:space="preserve">   </w:t>
            </w:r>
            <w:r>
              <w:rPr>
                <w:rFonts w:hint="eastAsia" w:ascii="方正书宋_GBK" w:hAnsi="方正书宋_GBK" w:eastAsia="黑体" w:cs="仿宋_GB2312"/>
                <w:sz w:val="21"/>
                <w:szCs w:val="21"/>
              </w:rPr>
              <w:t>据</w:t>
            </w:r>
          </w:p>
        </w:tc>
        <w:tc>
          <w:tcPr>
            <w:tcW w:w="1417"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仿宋_GB2312"/>
                <w:sz w:val="21"/>
                <w:szCs w:val="21"/>
              </w:rPr>
            </w:pPr>
            <w:r>
              <w:rPr>
                <w:rFonts w:hint="eastAsia" w:ascii="方正书宋_GBK" w:hAnsi="方正书宋_GBK" w:eastAsia="黑体" w:cs="仿宋_GB2312"/>
                <w:sz w:val="21"/>
                <w:szCs w:val="21"/>
              </w:rPr>
              <w:t>裁量幅度</w:t>
            </w:r>
          </w:p>
        </w:tc>
        <w:tc>
          <w:tcPr>
            <w:tcW w:w="2727"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仿宋_GB2312"/>
                <w:sz w:val="21"/>
                <w:szCs w:val="21"/>
              </w:rPr>
            </w:pPr>
            <w:r>
              <w:rPr>
                <w:rFonts w:hint="eastAsia" w:ascii="方正书宋_GBK" w:hAnsi="方正书宋_GBK" w:eastAsia="黑体" w:cs="仿宋_GB2312"/>
                <w:sz w:val="21"/>
                <w:szCs w:val="21"/>
              </w:rPr>
              <w:t>配套监管措施</w:t>
            </w:r>
          </w:p>
        </w:tc>
        <w:tc>
          <w:tcPr>
            <w:tcW w:w="803"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仿宋_GB2312"/>
                <w:sz w:val="21"/>
                <w:szCs w:val="21"/>
              </w:rPr>
            </w:pPr>
            <w:r>
              <w:rPr>
                <w:rFonts w:hint="eastAsia" w:ascii="方正书宋_GBK" w:hAnsi="方正书宋_GBK" w:eastAsia="黑体" w:cs="仿宋_GB2312"/>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4" w:hRule="atLeast"/>
          <w:tblHeader/>
          <w:jc w:val="center"/>
        </w:trPr>
        <w:tc>
          <w:tcPr>
            <w:tcW w:w="392"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仿宋" w:cs="仿宋"/>
                <w:spacing w:val="-6"/>
                <w:sz w:val="21"/>
                <w:szCs w:val="21"/>
              </w:rPr>
            </w:pPr>
            <w:r>
              <w:rPr>
                <w:rFonts w:hint="eastAsia" w:ascii="方正书宋_GBK" w:hAnsi="方正书宋_GBK" w:eastAsia="仿宋" w:cs="仿宋"/>
                <w:spacing w:val="-6"/>
                <w:sz w:val="21"/>
                <w:szCs w:val="21"/>
              </w:rPr>
              <w:t>3</w:t>
            </w:r>
          </w:p>
        </w:tc>
        <w:tc>
          <w:tcPr>
            <w:tcW w:w="850"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pacing w:val="-6"/>
                <w:sz w:val="21"/>
                <w:szCs w:val="21"/>
              </w:rPr>
            </w:pPr>
            <w:r>
              <w:rPr>
                <w:rFonts w:hint="eastAsia" w:ascii="方正书宋_GBK" w:hAnsi="方正书宋_GBK" w:eastAsia="仿宋" w:cs="仿宋_GB2312"/>
                <w:spacing w:val="-6"/>
                <w:sz w:val="21"/>
                <w:szCs w:val="21"/>
              </w:rPr>
              <w:t>对用人单位未建立职工工作时间记录台账备查的处罚</w:t>
            </w:r>
          </w:p>
        </w:tc>
        <w:tc>
          <w:tcPr>
            <w:tcW w:w="4536"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pacing w:val="-6"/>
                <w:sz w:val="21"/>
                <w:szCs w:val="21"/>
              </w:rPr>
            </w:pPr>
            <w:r>
              <w:rPr>
                <w:rFonts w:hint="eastAsia" w:ascii="方正书宋_GBK" w:hAnsi="方正书宋_GBK" w:eastAsia="仿宋" w:cs="仿宋_GB2312"/>
                <w:spacing w:val="-6"/>
                <w:sz w:val="21"/>
                <w:szCs w:val="21"/>
              </w:rPr>
              <w:t>《郑州市劳动用工条例》第十六条第二款：用人单位应当建立职工工作时间记录台账备查。职工工作时间记录台账包括每天上下班时间、加班时间等内容。</w:t>
            </w:r>
          </w:p>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pacing w:val="-6"/>
                <w:sz w:val="21"/>
                <w:szCs w:val="21"/>
              </w:rPr>
            </w:pPr>
            <w:r>
              <w:rPr>
                <w:rFonts w:hint="eastAsia" w:ascii="方正书宋_GBK" w:hAnsi="方正书宋_GBK" w:eastAsia="仿宋" w:cs="仿宋_GB2312"/>
                <w:spacing w:val="-6"/>
                <w:sz w:val="21"/>
                <w:szCs w:val="21"/>
              </w:rPr>
              <w:t>《郑州市劳动用工条例》第四十四条第（七）项：违反本条例规定，有下列行为之一的，按照下列规定处罚：（七）违反……第十六条第二款规定的，由人力资源社会保障行政部门责令限期改正；逾期不改正的，可处以一千元以下罚款。</w:t>
            </w:r>
          </w:p>
        </w:tc>
        <w:tc>
          <w:tcPr>
            <w:tcW w:w="2694"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pacing w:val="-6"/>
                <w:sz w:val="21"/>
                <w:szCs w:val="21"/>
              </w:rPr>
            </w:pPr>
            <w:r>
              <w:rPr>
                <w:rFonts w:hint="eastAsia" w:ascii="方正书宋_GBK" w:hAnsi="方正书宋_GBK" w:eastAsia="仿宋" w:cs="仿宋_GB2312"/>
                <w:spacing w:val="-6"/>
                <w:sz w:val="21"/>
                <w:szCs w:val="21"/>
              </w:rPr>
              <w:t>存在以下情形之一的：1.已满十四周岁不满十八周岁的未成年人有违法行为的；2.主动消除或者减轻违法行为危害后果的；3.受他人胁迫或者诱骗实施违法行为的；4.主动供述行政机关尚未掌握的违法行为的；5.配合行政机关查处违法行为有立功表现的。</w:t>
            </w:r>
          </w:p>
        </w:tc>
        <w:tc>
          <w:tcPr>
            <w:tcW w:w="1134"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pacing w:val="-6"/>
                <w:sz w:val="21"/>
                <w:szCs w:val="21"/>
              </w:rPr>
            </w:pPr>
            <w:r>
              <w:rPr>
                <w:rFonts w:hint="eastAsia" w:ascii="方正书宋_GBK" w:hAnsi="方正书宋_GBK" w:eastAsia="仿宋" w:cs="仿宋_GB2312"/>
                <w:spacing w:val="-6"/>
                <w:sz w:val="21"/>
                <w:szCs w:val="21"/>
              </w:rPr>
              <w:t>《行政处罚法》第三十二条；</w:t>
            </w:r>
          </w:p>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pacing w:val="-6"/>
                <w:sz w:val="21"/>
                <w:szCs w:val="21"/>
              </w:rPr>
            </w:pPr>
            <w:r>
              <w:rPr>
                <w:rFonts w:hint="eastAsia" w:ascii="方正书宋_GBK" w:hAnsi="方正书宋_GBK" w:eastAsia="仿宋" w:cs="仿宋_GB2312"/>
                <w:spacing w:val="-6"/>
                <w:sz w:val="21"/>
                <w:szCs w:val="21"/>
              </w:rPr>
              <w:t>《河南省人力资源社会保障行政处罚裁量权适用规则》第九条、第十二条</w:t>
            </w:r>
          </w:p>
        </w:tc>
        <w:tc>
          <w:tcPr>
            <w:tcW w:w="1417"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pacing w:val="-6"/>
                <w:sz w:val="21"/>
                <w:szCs w:val="21"/>
              </w:rPr>
            </w:pPr>
            <w:r>
              <w:rPr>
                <w:rFonts w:hint="eastAsia" w:ascii="方正书宋_GBK" w:hAnsi="方正书宋_GBK" w:eastAsia="仿宋" w:cs="仿宋_GB2312"/>
                <w:spacing w:val="-6"/>
                <w:sz w:val="21"/>
                <w:szCs w:val="21"/>
              </w:rPr>
              <w:t>未造成危害后果和不良社会影响；逾期未改正，但在行政机关作出处罚决定前整改完毕，或具备其他从轻处罚适用情形的，处200元以下罚款。</w:t>
            </w:r>
          </w:p>
        </w:tc>
        <w:tc>
          <w:tcPr>
            <w:tcW w:w="2727"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pacing w:val="-6"/>
                <w:sz w:val="21"/>
                <w:szCs w:val="21"/>
              </w:rPr>
            </w:pPr>
            <w:r>
              <w:rPr>
                <w:rFonts w:hint="eastAsia" w:ascii="方正书宋_GBK" w:hAnsi="方正书宋_GBK" w:eastAsia="仿宋" w:cs="仿宋_GB2312"/>
                <w:spacing w:val="-6"/>
                <w:sz w:val="21"/>
                <w:szCs w:val="21"/>
              </w:rPr>
              <w:t>1.通过开展“双随机一公开”执法检查、专项检查等加大日常监管。</w:t>
            </w:r>
          </w:p>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pacing w:val="-6"/>
                <w:sz w:val="21"/>
                <w:szCs w:val="21"/>
              </w:rPr>
            </w:pPr>
            <w:r>
              <w:rPr>
                <w:rFonts w:hint="eastAsia" w:ascii="方正书宋_GBK" w:hAnsi="方正书宋_GBK" w:eastAsia="仿宋" w:cs="仿宋_GB2312"/>
                <w:spacing w:val="-6"/>
                <w:sz w:val="21"/>
                <w:szCs w:val="21"/>
              </w:rPr>
              <w:t>2.利用“互联网+监管”系统做好动态监管工作。</w:t>
            </w:r>
          </w:p>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pacing w:val="-6"/>
                <w:sz w:val="21"/>
                <w:szCs w:val="21"/>
              </w:rPr>
            </w:pPr>
            <w:r>
              <w:rPr>
                <w:rFonts w:hint="eastAsia" w:ascii="方正书宋_GBK" w:hAnsi="方正书宋_GBK" w:eastAsia="仿宋" w:cs="仿宋_GB2312"/>
                <w:spacing w:val="-6"/>
                <w:sz w:val="21"/>
                <w:szCs w:val="21"/>
              </w:rPr>
              <w:t>3.加强行政指导，通过提醒、约谈、指导、建议等柔性执法措施，鼓励当事人主动纠错，消除或减轻社会危害。</w:t>
            </w:r>
          </w:p>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pacing w:val="-6"/>
                <w:sz w:val="21"/>
                <w:szCs w:val="21"/>
              </w:rPr>
            </w:pPr>
            <w:r>
              <w:rPr>
                <w:rFonts w:hint="eastAsia" w:ascii="方正书宋_GBK" w:hAnsi="方正书宋_GBK" w:eastAsia="仿宋" w:cs="仿宋_GB2312"/>
                <w:spacing w:val="-6"/>
                <w:sz w:val="21"/>
                <w:szCs w:val="21"/>
              </w:rPr>
              <w:t>4.做好普法宣传工作。</w:t>
            </w:r>
          </w:p>
        </w:tc>
        <w:tc>
          <w:tcPr>
            <w:tcW w:w="803"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 w:cs="仿宋_GB2312"/>
                <w:spacing w:val="-6"/>
                <w:sz w:val="21"/>
                <w:szCs w:val="21"/>
              </w:rPr>
            </w:pPr>
          </w:p>
        </w:tc>
      </w:tr>
    </w:tbl>
    <w:p>
      <w:pPr>
        <w:pStyle w:val="4"/>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_GB2312" w:cs="仿宋_GB2312"/>
          <w:sz w:val="21"/>
          <w:szCs w:val="21"/>
        </w:rPr>
      </w:pPr>
    </w:p>
    <w:p>
      <w:pPr>
        <w:pStyle w:val="4"/>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_GB2312" w:cs="仿宋_GB2312"/>
          <w:sz w:val="21"/>
          <w:szCs w:val="21"/>
        </w:rPr>
      </w:pPr>
    </w:p>
    <w:p>
      <w:pPr>
        <w:pStyle w:val="4"/>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_GB2312" w:cs="仿宋_GB2312"/>
          <w:sz w:val="21"/>
          <w:szCs w:val="21"/>
        </w:rPr>
      </w:pPr>
    </w:p>
    <w:p>
      <w:pPr>
        <w:pStyle w:val="4"/>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_GB2312" w:cs="仿宋_GB2312"/>
          <w:sz w:val="21"/>
          <w:szCs w:val="21"/>
        </w:rPr>
      </w:pPr>
    </w:p>
    <w:p>
      <w:pPr>
        <w:pStyle w:val="4"/>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_GB2312" w:cs="仿宋_GB2312"/>
          <w:sz w:val="21"/>
          <w:szCs w:val="21"/>
        </w:rPr>
      </w:pPr>
    </w:p>
    <w:p>
      <w:pPr>
        <w:pStyle w:val="4"/>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_GB2312" w:cs="仿宋_GB2312"/>
          <w:sz w:val="21"/>
          <w:szCs w:val="21"/>
        </w:rPr>
      </w:pPr>
    </w:p>
    <w:p>
      <w:pPr>
        <w:pStyle w:val="4"/>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_GB2312" w:cs="仿宋_GB2312"/>
          <w:sz w:val="21"/>
          <w:szCs w:val="21"/>
        </w:rPr>
      </w:pPr>
    </w:p>
    <w:p>
      <w:pPr>
        <w:pStyle w:val="4"/>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_GB2312" w:cs="仿宋_GB2312"/>
          <w:sz w:val="21"/>
          <w:szCs w:val="21"/>
        </w:rPr>
      </w:pPr>
    </w:p>
    <w:p>
      <w:pPr>
        <w:pStyle w:val="4"/>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_GB2312" w:cs="仿宋_GB2312"/>
          <w:sz w:val="21"/>
          <w:szCs w:val="21"/>
        </w:rPr>
      </w:pPr>
    </w:p>
    <w:p>
      <w:pPr>
        <w:pStyle w:val="4"/>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_GB2312" w:cs="仿宋_GB2312"/>
          <w:sz w:val="21"/>
          <w:szCs w:val="21"/>
        </w:rPr>
      </w:pPr>
    </w:p>
    <w:p>
      <w:pPr>
        <w:pStyle w:val="4"/>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_GB2312" w:cs="仿宋_GB2312"/>
          <w:sz w:val="21"/>
          <w:szCs w:val="21"/>
        </w:rPr>
      </w:pPr>
    </w:p>
    <w:p>
      <w:pPr>
        <w:pStyle w:val="4"/>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_GB2312" w:cs="仿宋_GB2312"/>
          <w:sz w:val="21"/>
          <w:szCs w:val="21"/>
        </w:rPr>
      </w:pPr>
    </w:p>
    <w:p>
      <w:pPr>
        <w:pStyle w:val="4"/>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_GB2312" w:cs="仿宋_GB2312"/>
          <w:sz w:val="21"/>
          <w:szCs w:val="21"/>
        </w:rPr>
      </w:pPr>
    </w:p>
    <w:tbl>
      <w:tblPr>
        <w:tblStyle w:val="5"/>
        <w:tblW w:w="14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275"/>
        <w:gridCol w:w="3803"/>
        <w:gridCol w:w="2694"/>
        <w:gridCol w:w="1134"/>
        <w:gridCol w:w="1417"/>
        <w:gridCol w:w="2727"/>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14553" w:type="dxa"/>
            <w:gridSpan w:val="8"/>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仿宋_GB2312"/>
                <w:sz w:val="21"/>
                <w:szCs w:val="21"/>
              </w:rPr>
            </w:pPr>
            <w:r>
              <w:rPr>
                <w:rFonts w:hint="eastAsia" w:ascii="方正书宋_GBK" w:hAnsi="方正书宋_GBK" w:eastAsia="黑体" w:cs="仿宋_GB2312"/>
                <w:sz w:val="21"/>
                <w:szCs w:val="21"/>
              </w:rPr>
              <w:t>减轻处罚事项清单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00"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仿宋"/>
                <w:sz w:val="21"/>
                <w:szCs w:val="21"/>
              </w:rPr>
            </w:pPr>
            <w:r>
              <w:rPr>
                <w:rFonts w:hint="eastAsia" w:ascii="方正书宋_GBK" w:hAnsi="方正书宋_GBK" w:eastAsia="黑体" w:cs="仿宋"/>
                <w:sz w:val="21"/>
                <w:szCs w:val="21"/>
              </w:rPr>
              <w:t>序号</w:t>
            </w:r>
          </w:p>
        </w:tc>
        <w:tc>
          <w:tcPr>
            <w:tcW w:w="1275"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仿宋_GB2312"/>
                <w:sz w:val="21"/>
                <w:szCs w:val="21"/>
              </w:rPr>
            </w:pPr>
            <w:r>
              <w:rPr>
                <w:rFonts w:hint="eastAsia" w:ascii="方正书宋_GBK" w:hAnsi="方正书宋_GBK" w:eastAsia="黑体" w:cs="仿宋_GB2312"/>
                <w:sz w:val="21"/>
                <w:szCs w:val="21"/>
              </w:rPr>
              <w:t>事项名称</w:t>
            </w:r>
          </w:p>
        </w:tc>
        <w:tc>
          <w:tcPr>
            <w:tcW w:w="3803"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仿宋_GB2312"/>
                <w:sz w:val="21"/>
                <w:szCs w:val="21"/>
              </w:rPr>
            </w:pPr>
            <w:r>
              <w:rPr>
                <w:rFonts w:hint="eastAsia" w:ascii="方正书宋_GBK" w:hAnsi="方正书宋_GBK" w:eastAsia="黑体" w:cs="仿宋_GB2312"/>
                <w:sz w:val="21"/>
                <w:szCs w:val="21"/>
              </w:rPr>
              <w:t>设定依据</w:t>
            </w:r>
          </w:p>
        </w:tc>
        <w:tc>
          <w:tcPr>
            <w:tcW w:w="2694"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仿宋_GB2312"/>
                <w:sz w:val="21"/>
                <w:szCs w:val="21"/>
              </w:rPr>
            </w:pPr>
            <w:r>
              <w:rPr>
                <w:rFonts w:hint="eastAsia" w:ascii="方正书宋_GBK" w:hAnsi="方正书宋_GBK" w:eastAsia="黑体" w:cs="仿宋_GB2312"/>
                <w:sz w:val="21"/>
                <w:szCs w:val="21"/>
              </w:rPr>
              <w:t>适用情形</w:t>
            </w:r>
          </w:p>
        </w:tc>
        <w:tc>
          <w:tcPr>
            <w:tcW w:w="1134"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仿宋_GB2312"/>
                <w:sz w:val="21"/>
                <w:szCs w:val="21"/>
              </w:rPr>
            </w:pPr>
            <w:r>
              <w:rPr>
                <w:rFonts w:hint="eastAsia" w:ascii="方正书宋_GBK" w:hAnsi="方正书宋_GBK" w:eastAsia="黑体" w:cs="仿宋_GB2312"/>
                <w:sz w:val="21"/>
                <w:szCs w:val="21"/>
              </w:rPr>
              <w:t xml:space="preserve">从轻处罚依 </w:t>
            </w:r>
            <w:r>
              <w:rPr>
                <w:rFonts w:ascii="方正书宋_GBK" w:hAnsi="方正书宋_GBK" w:eastAsia="黑体" w:cs="仿宋_GB2312"/>
                <w:sz w:val="21"/>
                <w:szCs w:val="21"/>
              </w:rPr>
              <w:t xml:space="preserve">   </w:t>
            </w:r>
            <w:r>
              <w:rPr>
                <w:rFonts w:hint="eastAsia" w:ascii="方正书宋_GBK" w:hAnsi="方正书宋_GBK" w:eastAsia="黑体" w:cs="仿宋_GB2312"/>
                <w:sz w:val="21"/>
                <w:szCs w:val="21"/>
              </w:rPr>
              <w:t>据</w:t>
            </w:r>
          </w:p>
        </w:tc>
        <w:tc>
          <w:tcPr>
            <w:tcW w:w="1417"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仿宋_GB2312"/>
                <w:sz w:val="21"/>
                <w:szCs w:val="21"/>
              </w:rPr>
            </w:pPr>
            <w:r>
              <w:rPr>
                <w:rFonts w:hint="eastAsia" w:ascii="方正书宋_GBK" w:hAnsi="方正书宋_GBK" w:eastAsia="黑体" w:cs="仿宋_GB2312"/>
                <w:sz w:val="21"/>
                <w:szCs w:val="21"/>
              </w:rPr>
              <w:t>裁量幅度</w:t>
            </w:r>
          </w:p>
        </w:tc>
        <w:tc>
          <w:tcPr>
            <w:tcW w:w="2727"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仿宋_GB2312"/>
                <w:sz w:val="21"/>
                <w:szCs w:val="21"/>
              </w:rPr>
            </w:pPr>
            <w:r>
              <w:rPr>
                <w:rFonts w:hint="eastAsia" w:ascii="方正书宋_GBK" w:hAnsi="方正书宋_GBK" w:eastAsia="黑体" w:cs="仿宋_GB2312"/>
                <w:sz w:val="21"/>
                <w:szCs w:val="21"/>
              </w:rPr>
              <w:t>配套监管措施</w:t>
            </w:r>
          </w:p>
        </w:tc>
        <w:tc>
          <w:tcPr>
            <w:tcW w:w="803"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仿宋_GB2312"/>
                <w:sz w:val="21"/>
                <w:szCs w:val="21"/>
              </w:rPr>
            </w:pPr>
            <w:r>
              <w:rPr>
                <w:rFonts w:hint="eastAsia" w:ascii="方正书宋_GBK" w:hAnsi="方正书宋_GBK" w:eastAsia="黑体" w:cs="仿宋_GB2312"/>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00"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仿宋" w:cs="仿宋"/>
                <w:sz w:val="21"/>
                <w:szCs w:val="21"/>
              </w:rPr>
            </w:pPr>
          </w:p>
        </w:tc>
        <w:tc>
          <w:tcPr>
            <w:tcW w:w="1275"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_GB2312" w:cs="仿宋_GB2312"/>
                <w:sz w:val="21"/>
                <w:szCs w:val="21"/>
              </w:rPr>
            </w:pPr>
            <w:r>
              <w:rPr>
                <w:rFonts w:hint="eastAsia" w:ascii="方正书宋_GBK" w:hAnsi="方正书宋_GBK" w:eastAsia="仿宋_GB2312" w:cs="仿宋_GB2312"/>
                <w:sz w:val="21"/>
                <w:szCs w:val="21"/>
              </w:rPr>
              <w:t>无</w:t>
            </w:r>
          </w:p>
        </w:tc>
        <w:tc>
          <w:tcPr>
            <w:tcW w:w="3803"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_GB2312" w:cs="仿宋_GB2312"/>
                <w:sz w:val="21"/>
                <w:szCs w:val="21"/>
              </w:rPr>
            </w:pPr>
          </w:p>
        </w:tc>
        <w:tc>
          <w:tcPr>
            <w:tcW w:w="2694"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_GB2312" w:cs="仿宋_GB2312"/>
                <w:sz w:val="21"/>
                <w:szCs w:val="21"/>
              </w:rPr>
            </w:pPr>
          </w:p>
        </w:tc>
        <w:tc>
          <w:tcPr>
            <w:tcW w:w="1134"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_GB2312" w:cs="仿宋_GB2312"/>
                <w:sz w:val="21"/>
                <w:szCs w:val="21"/>
              </w:rPr>
            </w:pPr>
          </w:p>
        </w:tc>
        <w:tc>
          <w:tcPr>
            <w:tcW w:w="1417"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_GB2312" w:cs="仿宋_GB2312"/>
                <w:sz w:val="21"/>
                <w:szCs w:val="21"/>
              </w:rPr>
            </w:pPr>
          </w:p>
        </w:tc>
        <w:tc>
          <w:tcPr>
            <w:tcW w:w="2727"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_GB2312" w:cs="仿宋_GB2312"/>
                <w:sz w:val="21"/>
                <w:szCs w:val="21"/>
              </w:rPr>
            </w:pPr>
          </w:p>
        </w:tc>
        <w:tc>
          <w:tcPr>
            <w:tcW w:w="803"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_GB2312" w:cs="仿宋_GB2312"/>
                <w:sz w:val="21"/>
                <w:szCs w:val="21"/>
              </w:rPr>
            </w:pPr>
          </w:p>
        </w:tc>
      </w:tr>
    </w:tbl>
    <w:p>
      <w:pPr>
        <w:pStyle w:val="4"/>
        <w:keepNext w:val="0"/>
        <w:keepLines w:val="0"/>
        <w:pageBreakBefore w:val="0"/>
        <w:kinsoku/>
        <w:wordWrap/>
        <w:overflowPunct/>
        <w:topLinePunct w:val="0"/>
        <w:autoSpaceDE/>
        <w:autoSpaceDN/>
        <w:bidi w:val="0"/>
        <w:adjustRightInd/>
        <w:snapToGrid w:val="0"/>
        <w:spacing w:beforeAutospacing="0" w:afterAutospacing="0" w:line="240" w:lineRule="auto"/>
        <w:ind w:firstLine="482"/>
        <w:rPr>
          <w:rFonts w:ascii="方正书宋_GBK" w:hAnsi="方正书宋_GBK" w:eastAsia="仿宋_GB2312" w:cs="仿宋_GB2312"/>
          <w:sz w:val="21"/>
          <w:szCs w:val="21"/>
        </w:rPr>
      </w:pPr>
    </w:p>
    <w:p>
      <w:pPr>
        <w:pStyle w:val="4"/>
        <w:keepNext w:val="0"/>
        <w:keepLines w:val="0"/>
        <w:pageBreakBefore w:val="0"/>
        <w:kinsoku/>
        <w:wordWrap/>
        <w:overflowPunct/>
        <w:topLinePunct w:val="0"/>
        <w:autoSpaceDE/>
        <w:autoSpaceDN/>
        <w:bidi w:val="0"/>
        <w:adjustRightInd/>
        <w:snapToGrid w:val="0"/>
        <w:spacing w:beforeAutospacing="0" w:afterAutospacing="0" w:line="240" w:lineRule="auto"/>
        <w:ind w:firstLine="482"/>
        <w:rPr>
          <w:rFonts w:ascii="方正书宋_GBK" w:hAnsi="方正书宋_GBK" w:eastAsia="仿宋_GB2312" w:cs="仿宋_GB2312"/>
          <w:sz w:val="21"/>
          <w:szCs w:val="21"/>
        </w:rPr>
      </w:pPr>
    </w:p>
    <w:p>
      <w:pPr>
        <w:pStyle w:val="4"/>
        <w:keepNext w:val="0"/>
        <w:keepLines w:val="0"/>
        <w:pageBreakBefore w:val="0"/>
        <w:kinsoku/>
        <w:wordWrap/>
        <w:overflowPunct/>
        <w:topLinePunct w:val="0"/>
        <w:autoSpaceDE/>
        <w:autoSpaceDN/>
        <w:bidi w:val="0"/>
        <w:adjustRightInd/>
        <w:snapToGrid w:val="0"/>
        <w:spacing w:beforeAutospacing="0" w:afterAutospacing="0" w:line="240" w:lineRule="auto"/>
        <w:ind w:firstLine="482"/>
        <w:rPr>
          <w:rFonts w:ascii="方正书宋_GBK" w:hAnsi="方正书宋_GBK" w:eastAsia="仿宋_GB2312" w:cs="仿宋_GB2312"/>
          <w:sz w:val="21"/>
          <w:szCs w:val="21"/>
        </w:rPr>
      </w:pPr>
    </w:p>
    <w:tbl>
      <w:tblPr>
        <w:tblStyle w:val="5"/>
        <w:tblW w:w="14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275"/>
        <w:gridCol w:w="3788"/>
        <w:gridCol w:w="2694"/>
        <w:gridCol w:w="1134"/>
        <w:gridCol w:w="1417"/>
        <w:gridCol w:w="2727"/>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14553" w:type="dxa"/>
            <w:gridSpan w:val="8"/>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仿宋_GB2312"/>
                <w:sz w:val="21"/>
                <w:szCs w:val="21"/>
              </w:rPr>
            </w:pPr>
            <w:r>
              <w:rPr>
                <w:rFonts w:hint="eastAsia" w:ascii="方正书宋_GBK" w:hAnsi="方正书宋_GBK" w:eastAsia="黑体" w:cs="仿宋_GB2312"/>
                <w:sz w:val="21"/>
                <w:szCs w:val="21"/>
              </w:rPr>
              <w:t>不予行政强制事项清单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4" w:hRule="exact"/>
          <w:tblHeader/>
          <w:jc w:val="center"/>
        </w:trPr>
        <w:tc>
          <w:tcPr>
            <w:tcW w:w="715"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仿宋"/>
                <w:sz w:val="21"/>
                <w:szCs w:val="21"/>
              </w:rPr>
            </w:pPr>
            <w:r>
              <w:rPr>
                <w:rFonts w:hint="eastAsia" w:ascii="方正书宋_GBK" w:hAnsi="方正书宋_GBK" w:eastAsia="黑体" w:cs="仿宋"/>
                <w:sz w:val="21"/>
                <w:szCs w:val="21"/>
              </w:rPr>
              <w:t>序号</w:t>
            </w:r>
          </w:p>
        </w:tc>
        <w:tc>
          <w:tcPr>
            <w:tcW w:w="1275"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仿宋_GB2312"/>
                <w:sz w:val="21"/>
                <w:szCs w:val="21"/>
              </w:rPr>
            </w:pPr>
            <w:r>
              <w:rPr>
                <w:rFonts w:hint="eastAsia" w:ascii="方正书宋_GBK" w:hAnsi="方正书宋_GBK" w:eastAsia="黑体" w:cs="仿宋_GB2312"/>
                <w:sz w:val="21"/>
                <w:szCs w:val="21"/>
              </w:rPr>
              <w:t>事项名称</w:t>
            </w:r>
          </w:p>
        </w:tc>
        <w:tc>
          <w:tcPr>
            <w:tcW w:w="3788"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仿宋_GB2312"/>
                <w:sz w:val="21"/>
                <w:szCs w:val="21"/>
              </w:rPr>
            </w:pPr>
            <w:r>
              <w:rPr>
                <w:rFonts w:hint="eastAsia" w:ascii="方正书宋_GBK" w:hAnsi="方正书宋_GBK" w:eastAsia="黑体" w:cs="仿宋_GB2312"/>
                <w:sz w:val="21"/>
                <w:szCs w:val="21"/>
              </w:rPr>
              <w:t>设定依据</w:t>
            </w:r>
          </w:p>
        </w:tc>
        <w:tc>
          <w:tcPr>
            <w:tcW w:w="2694"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仿宋_GB2312"/>
                <w:sz w:val="21"/>
                <w:szCs w:val="21"/>
              </w:rPr>
            </w:pPr>
            <w:r>
              <w:rPr>
                <w:rFonts w:hint="eastAsia" w:ascii="方正书宋_GBK" w:hAnsi="方正书宋_GBK" w:eastAsia="黑体" w:cs="仿宋_GB2312"/>
                <w:sz w:val="21"/>
                <w:szCs w:val="21"/>
              </w:rPr>
              <w:t>适用情形</w:t>
            </w:r>
          </w:p>
        </w:tc>
        <w:tc>
          <w:tcPr>
            <w:tcW w:w="1134"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仿宋_GB2312"/>
                <w:sz w:val="21"/>
                <w:szCs w:val="21"/>
              </w:rPr>
            </w:pPr>
            <w:r>
              <w:rPr>
                <w:rFonts w:hint="eastAsia" w:ascii="方正书宋_GBK" w:hAnsi="方正书宋_GBK" w:eastAsia="黑体" w:cs="仿宋_GB2312"/>
                <w:sz w:val="21"/>
                <w:szCs w:val="21"/>
              </w:rPr>
              <w:t xml:space="preserve">从轻处罚依 </w:t>
            </w:r>
            <w:r>
              <w:rPr>
                <w:rFonts w:ascii="方正书宋_GBK" w:hAnsi="方正书宋_GBK" w:eastAsia="黑体" w:cs="仿宋_GB2312"/>
                <w:sz w:val="21"/>
                <w:szCs w:val="21"/>
              </w:rPr>
              <w:t xml:space="preserve">   </w:t>
            </w:r>
            <w:r>
              <w:rPr>
                <w:rFonts w:hint="eastAsia" w:ascii="方正书宋_GBK" w:hAnsi="方正书宋_GBK" w:eastAsia="黑体" w:cs="仿宋_GB2312"/>
                <w:sz w:val="21"/>
                <w:szCs w:val="21"/>
              </w:rPr>
              <w:t>据</w:t>
            </w:r>
          </w:p>
        </w:tc>
        <w:tc>
          <w:tcPr>
            <w:tcW w:w="1417"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仿宋_GB2312"/>
                <w:sz w:val="21"/>
                <w:szCs w:val="21"/>
              </w:rPr>
            </w:pPr>
            <w:r>
              <w:rPr>
                <w:rFonts w:hint="eastAsia" w:ascii="方正书宋_GBK" w:hAnsi="方正书宋_GBK" w:eastAsia="黑体" w:cs="仿宋_GB2312"/>
                <w:sz w:val="21"/>
                <w:szCs w:val="21"/>
              </w:rPr>
              <w:t>裁量幅度</w:t>
            </w:r>
          </w:p>
        </w:tc>
        <w:tc>
          <w:tcPr>
            <w:tcW w:w="2727"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仿宋_GB2312"/>
                <w:sz w:val="21"/>
                <w:szCs w:val="21"/>
              </w:rPr>
            </w:pPr>
            <w:r>
              <w:rPr>
                <w:rFonts w:hint="eastAsia" w:ascii="方正书宋_GBK" w:hAnsi="方正书宋_GBK" w:eastAsia="黑体" w:cs="仿宋_GB2312"/>
                <w:sz w:val="21"/>
                <w:szCs w:val="21"/>
              </w:rPr>
              <w:t>配套监管措施</w:t>
            </w:r>
          </w:p>
        </w:tc>
        <w:tc>
          <w:tcPr>
            <w:tcW w:w="803"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黑体" w:cs="仿宋_GB2312"/>
                <w:sz w:val="21"/>
                <w:szCs w:val="21"/>
              </w:rPr>
            </w:pPr>
            <w:r>
              <w:rPr>
                <w:rFonts w:hint="eastAsia" w:ascii="方正书宋_GBK" w:hAnsi="方正书宋_GBK" w:eastAsia="黑体" w:cs="仿宋_GB2312"/>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blHeader/>
          <w:jc w:val="center"/>
        </w:trPr>
        <w:tc>
          <w:tcPr>
            <w:tcW w:w="715"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jc w:val="center"/>
              <w:rPr>
                <w:rFonts w:hint="eastAsia" w:ascii="方正书宋_GBK" w:hAnsi="方正书宋_GBK" w:eastAsia="仿宋" w:cs="仿宋"/>
                <w:sz w:val="21"/>
                <w:szCs w:val="21"/>
              </w:rPr>
            </w:pPr>
          </w:p>
        </w:tc>
        <w:tc>
          <w:tcPr>
            <w:tcW w:w="1275"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_GB2312" w:cs="仿宋_GB2312"/>
                <w:sz w:val="21"/>
                <w:szCs w:val="21"/>
              </w:rPr>
            </w:pPr>
            <w:r>
              <w:rPr>
                <w:rFonts w:hint="eastAsia" w:ascii="方正书宋_GBK" w:hAnsi="方正书宋_GBK" w:eastAsia="仿宋_GB2312" w:cs="仿宋_GB2312"/>
                <w:sz w:val="21"/>
                <w:szCs w:val="21"/>
              </w:rPr>
              <w:t>无</w:t>
            </w:r>
          </w:p>
        </w:tc>
        <w:tc>
          <w:tcPr>
            <w:tcW w:w="3788"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_GB2312" w:cs="仿宋_GB2312"/>
                <w:sz w:val="21"/>
                <w:szCs w:val="21"/>
              </w:rPr>
            </w:pPr>
          </w:p>
        </w:tc>
        <w:tc>
          <w:tcPr>
            <w:tcW w:w="2694"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_GB2312" w:cs="仿宋_GB2312"/>
                <w:sz w:val="21"/>
                <w:szCs w:val="21"/>
              </w:rPr>
            </w:pPr>
          </w:p>
        </w:tc>
        <w:tc>
          <w:tcPr>
            <w:tcW w:w="1134"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_GB2312" w:cs="仿宋_GB2312"/>
                <w:sz w:val="21"/>
                <w:szCs w:val="21"/>
              </w:rPr>
            </w:pPr>
          </w:p>
        </w:tc>
        <w:tc>
          <w:tcPr>
            <w:tcW w:w="1417"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_GB2312" w:cs="仿宋_GB2312"/>
                <w:sz w:val="21"/>
                <w:szCs w:val="21"/>
              </w:rPr>
            </w:pPr>
          </w:p>
        </w:tc>
        <w:tc>
          <w:tcPr>
            <w:tcW w:w="2727"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_GB2312" w:cs="仿宋_GB2312"/>
                <w:sz w:val="21"/>
                <w:szCs w:val="21"/>
              </w:rPr>
            </w:pPr>
          </w:p>
        </w:tc>
        <w:tc>
          <w:tcPr>
            <w:tcW w:w="803" w:type="dxa"/>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书宋_GBK" w:hAnsi="方正书宋_GBK" w:eastAsia="仿宋_GB2312" w:cs="仿宋_GB2312"/>
                <w:sz w:val="21"/>
                <w:szCs w:val="21"/>
              </w:rPr>
            </w:pPr>
          </w:p>
        </w:tc>
      </w:tr>
    </w:tbl>
    <w:p>
      <w:pPr>
        <w:pStyle w:val="4"/>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黑体_GBK" w:hAnsi="方正黑体_GBK" w:eastAsia="方正黑体_GBK" w:cs="方正黑体_GBK"/>
          <w:sz w:val="32"/>
          <w:szCs w:val="32"/>
        </w:rPr>
      </w:pPr>
    </w:p>
    <w:p>
      <w:pPr>
        <w:pStyle w:val="4"/>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黑体_GBK" w:hAnsi="方正黑体_GBK" w:eastAsia="方正黑体_GBK" w:cs="方正黑体_GBK"/>
          <w:sz w:val="32"/>
          <w:szCs w:val="32"/>
        </w:rPr>
      </w:pPr>
    </w:p>
    <w:p>
      <w:pPr>
        <w:pStyle w:val="4"/>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黑体_GBK" w:hAnsi="方正黑体_GBK" w:eastAsia="方正黑体_GBK" w:cs="方正黑体_GBK"/>
          <w:sz w:val="32"/>
          <w:szCs w:val="32"/>
        </w:rPr>
      </w:pPr>
    </w:p>
    <w:p>
      <w:pPr>
        <w:pStyle w:val="4"/>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黑体_GBK" w:hAnsi="方正黑体_GBK" w:eastAsia="方正黑体_GBK" w:cs="方正黑体_GBK"/>
          <w:sz w:val="32"/>
          <w:szCs w:val="32"/>
        </w:rPr>
      </w:pPr>
    </w:p>
    <w:p>
      <w:pPr>
        <w:pStyle w:val="4"/>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黑体_GBK" w:hAnsi="方正黑体_GBK" w:eastAsia="方正黑体_GBK" w:cs="方正黑体_GBK"/>
          <w:sz w:val="32"/>
          <w:szCs w:val="32"/>
        </w:rPr>
      </w:pPr>
    </w:p>
    <w:p>
      <w:pPr>
        <w:pStyle w:val="4"/>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黑体_GBK" w:hAnsi="方正黑体_GBK" w:eastAsia="方正黑体_GBK" w:cs="方正黑体_GBK"/>
          <w:sz w:val="32"/>
          <w:szCs w:val="32"/>
        </w:rPr>
      </w:pPr>
    </w:p>
    <w:p>
      <w:pPr>
        <w:pStyle w:val="4"/>
        <w:keepNext w:val="0"/>
        <w:keepLines w:val="0"/>
        <w:pageBreakBefore w:val="0"/>
        <w:kinsoku/>
        <w:wordWrap/>
        <w:overflowPunct/>
        <w:topLinePunct w:val="0"/>
        <w:autoSpaceDE/>
        <w:autoSpaceDN/>
        <w:bidi w:val="0"/>
        <w:adjustRightInd/>
        <w:snapToGrid w:val="0"/>
        <w:spacing w:beforeAutospacing="0" w:afterAutospacing="0" w:line="240" w:lineRule="auto"/>
        <w:rPr>
          <w:rFonts w:hint="eastAsia" w:ascii="方正黑体_GBK" w:hAnsi="方正黑体_GBK" w:eastAsia="方正黑体_GBK" w:cs="方正黑体_GBK"/>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_GBK">
    <w:altName w:val="微软雅黑"/>
    <w:panose1 w:val="02000000000000000000"/>
    <w:charset w:val="86"/>
    <w:family w:val="script"/>
    <w:pitch w:val="default"/>
    <w:sig w:usb0="00000000" w:usb1="0000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0ZGUyY2I1ZDlmYjA3MzczY2I2N2M0ZjNhYzRiMzYifQ=="/>
  </w:docVars>
  <w:rsids>
    <w:rsidRoot w:val="783F394E"/>
    <w:rsid w:val="688A5435"/>
    <w:rsid w:val="783F3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qFormat/>
    <w:uiPriority w:val="99"/>
    <w:pPr>
      <w:widowControl w:val="0"/>
      <w:snapToGrid w:val="0"/>
      <w:jc w:val="left"/>
    </w:pPr>
    <w:rPr>
      <w:rFonts w:ascii="Calibri" w:hAnsi="Calibri" w:eastAsia="宋体" w:cs="Times New Roman"/>
      <w:kern w:val="2"/>
      <w:sz w:val="18"/>
      <w:szCs w:val="18"/>
      <w:lang w:val="en-US" w:eastAsia="zh-CN" w:bidi="ar-SA"/>
    </w:rPr>
  </w:style>
  <w:style w:type="character" w:styleId="7">
    <w:name w:val="page number"/>
    <w:basedOn w:val="6"/>
    <w:uiPriority w:val="0"/>
  </w:style>
  <w:style w:type="paragraph" w:customStyle="1" w:styleId="8">
    <w:name w:val="正文首缩两字 Char"/>
    <w:basedOn w:val="1"/>
    <w:qFormat/>
    <w:uiPriority w:val="0"/>
    <w:rPr>
      <w:rFonts w:ascii="Verdana" w:hAnsi="Verdan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2022-12-09T04:30:00Z</dcterms:created>
  <dc:creator>Administrator</dc:creator>
  <cp:lastModifiedBy>Administrator</cp:lastModifiedBy>
  <dcterms:modified xsi:type="dcterms:W3CDTF">2022-12-09T04:31:29Z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4A333D58F55E464A870B51202D568ADA</vt:lpwstr>
  </property>
</Properties>
</file>